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3067" w14:textId="77777777" w:rsidR="00BE7707" w:rsidRDefault="00356721" w:rsidP="00356721">
      <w:pPr>
        <w:spacing w:after="0" w:line="240" w:lineRule="auto"/>
        <w:rPr>
          <w:rFonts w:ascii="Arial" w:hAnsi="Arial" w:cs="Arial"/>
          <w:b/>
        </w:rPr>
      </w:pPr>
      <w:r w:rsidRPr="00356721">
        <w:rPr>
          <w:rFonts w:ascii="Arial" w:hAnsi="Arial" w:cs="Arial"/>
          <w:b/>
        </w:rPr>
        <w:t xml:space="preserve">Provision of GP Services Christmas 2019 </w:t>
      </w:r>
    </w:p>
    <w:p w14:paraId="585FBB5B" w14:textId="77777777" w:rsidR="00356721" w:rsidRDefault="00356721" w:rsidP="00356721">
      <w:pPr>
        <w:spacing w:after="0" w:line="240" w:lineRule="auto"/>
        <w:rPr>
          <w:rFonts w:ascii="Arial" w:hAnsi="Arial" w:cs="Arial"/>
          <w:b/>
        </w:rPr>
      </w:pPr>
    </w:p>
    <w:p w14:paraId="6BA36706" w14:textId="77777777" w:rsidR="0061771B" w:rsidRPr="0061771B" w:rsidRDefault="0061771B" w:rsidP="00356721">
      <w:pPr>
        <w:spacing w:after="0" w:line="240" w:lineRule="auto"/>
        <w:rPr>
          <w:rFonts w:ascii="Arial" w:hAnsi="Arial" w:cs="Arial"/>
        </w:rPr>
      </w:pPr>
      <w:r w:rsidRPr="0061771B">
        <w:rPr>
          <w:rFonts w:ascii="Arial" w:hAnsi="Arial" w:cs="Arial"/>
        </w:rPr>
        <w:t>29</w:t>
      </w:r>
      <w:r w:rsidRPr="0061771B">
        <w:rPr>
          <w:rFonts w:ascii="Arial" w:hAnsi="Arial" w:cs="Arial"/>
          <w:vertAlign w:val="superscript"/>
        </w:rPr>
        <w:t>th</w:t>
      </w:r>
      <w:r w:rsidRPr="0061771B">
        <w:rPr>
          <w:rFonts w:ascii="Arial" w:hAnsi="Arial" w:cs="Arial"/>
        </w:rPr>
        <w:t xml:space="preserve"> January 2019</w:t>
      </w:r>
    </w:p>
    <w:p w14:paraId="76B450A1" w14:textId="77777777" w:rsidR="0061771B" w:rsidRDefault="0061771B" w:rsidP="00356721">
      <w:pPr>
        <w:spacing w:after="0" w:line="240" w:lineRule="auto"/>
        <w:rPr>
          <w:rFonts w:ascii="Arial" w:hAnsi="Arial" w:cs="Arial"/>
          <w:b/>
        </w:rPr>
      </w:pPr>
    </w:p>
    <w:p w14:paraId="7E862FA3" w14:textId="77777777" w:rsidR="00356721" w:rsidRDefault="00356721" w:rsidP="00356721">
      <w:pPr>
        <w:spacing w:after="0" w:line="240" w:lineRule="auto"/>
        <w:rPr>
          <w:rFonts w:ascii="Arial" w:hAnsi="Arial" w:cs="Arial"/>
          <w:b/>
        </w:rPr>
      </w:pPr>
      <w:r>
        <w:rPr>
          <w:rFonts w:ascii="Arial" w:hAnsi="Arial" w:cs="Arial"/>
          <w:b/>
        </w:rPr>
        <w:t>Issue</w:t>
      </w:r>
    </w:p>
    <w:p w14:paraId="7CDE89DB" w14:textId="77777777" w:rsidR="00356721" w:rsidRDefault="00356721" w:rsidP="00356721">
      <w:pPr>
        <w:spacing w:after="0" w:line="240" w:lineRule="auto"/>
        <w:rPr>
          <w:rFonts w:ascii="Arial" w:hAnsi="Arial" w:cs="Arial"/>
          <w:b/>
        </w:rPr>
      </w:pPr>
    </w:p>
    <w:p w14:paraId="005B8A54" w14:textId="77777777" w:rsidR="00356721" w:rsidRDefault="00356721" w:rsidP="00356721">
      <w:pPr>
        <w:spacing w:after="0" w:line="240" w:lineRule="auto"/>
        <w:rPr>
          <w:rFonts w:ascii="Arial" w:hAnsi="Arial" w:cs="Arial"/>
        </w:rPr>
      </w:pPr>
      <w:r>
        <w:rPr>
          <w:rFonts w:ascii="Arial" w:hAnsi="Arial" w:cs="Arial"/>
        </w:rPr>
        <w:t>The demand for GP services at practices across Derbyshire has historically been at significantly redu</w:t>
      </w:r>
      <w:r w:rsidR="001A047D">
        <w:rPr>
          <w:rFonts w:ascii="Arial" w:hAnsi="Arial" w:cs="Arial"/>
        </w:rPr>
        <w:t>ced levels during the afternoon</w:t>
      </w:r>
      <w:r>
        <w:rPr>
          <w:rFonts w:ascii="Arial" w:hAnsi="Arial" w:cs="Arial"/>
        </w:rPr>
        <w:t xml:space="preserve"> of Christmas Eve and New Year’s Eve. With the advent of PCNs many practices are keen to explore options about how to provide a suitable service to patients in a more efficient way. In order to inform the debate Derby and Derbyshire LMC conducted an analysis of patient d</w:t>
      </w:r>
      <w:r w:rsidR="0040737D">
        <w:rPr>
          <w:rFonts w:ascii="Arial" w:hAnsi="Arial" w:cs="Arial"/>
        </w:rPr>
        <w:t>emand on Christmas Eve and New Y</w:t>
      </w:r>
      <w:r>
        <w:rPr>
          <w:rFonts w:ascii="Arial" w:hAnsi="Arial" w:cs="Arial"/>
        </w:rPr>
        <w:t xml:space="preserve">ears’ Eve 2018. </w:t>
      </w:r>
    </w:p>
    <w:p w14:paraId="52D65E0E" w14:textId="77777777" w:rsidR="00693B8C" w:rsidRDefault="00693B8C" w:rsidP="00356721">
      <w:pPr>
        <w:spacing w:after="0" w:line="240" w:lineRule="auto"/>
        <w:rPr>
          <w:rFonts w:ascii="Arial" w:hAnsi="Arial" w:cs="Arial"/>
        </w:rPr>
      </w:pPr>
    </w:p>
    <w:p w14:paraId="04E31901" w14:textId="77777777" w:rsidR="00693B8C" w:rsidRDefault="00693B8C" w:rsidP="00356721">
      <w:pPr>
        <w:spacing w:after="0" w:line="240" w:lineRule="auto"/>
        <w:rPr>
          <w:rFonts w:ascii="Arial" w:hAnsi="Arial" w:cs="Arial"/>
          <w:b/>
        </w:rPr>
      </w:pPr>
      <w:r w:rsidRPr="00693B8C">
        <w:rPr>
          <w:rFonts w:ascii="Arial" w:hAnsi="Arial" w:cs="Arial"/>
          <w:b/>
        </w:rPr>
        <w:t>Recommendation</w:t>
      </w:r>
    </w:p>
    <w:p w14:paraId="1742FC07" w14:textId="77777777" w:rsidR="00693B8C" w:rsidRDefault="00693B8C" w:rsidP="00356721">
      <w:pPr>
        <w:spacing w:after="0" w:line="240" w:lineRule="auto"/>
        <w:rPr>
          <w:rFonts w:ascii="Arial" w:hAnsi="Arial" w:cs="Arial"/>
          <w:b/>
        </w:rPr>
      </w:pPr>
    </w:p>
    <w:p w14:paraId="7FCB6903" w14:textId="77777777" w:rsidR="00693B8C" w:rsidRDefault="00693B8C" w:rsidP="00356721">
      <w:pPr>
        <w:spacing w:after="0" w:line="240" w:lineRule="auto"/>
        <w:rPr>
          <w:rFonts w:ascii="Arial" w:hAnsi="Arial" w:cs="Arial"/>
        </w:rPr>
      </w:pPr>
      <w:r w:rsidRPr="00693B8C">
        <w:rPr>
          <w:rFonts w:ascii="Arial" w:hAnsi="Arial" w:cs="Arial"/>
        </w:rPr>
        <w:t>The CCG</w:t>
      </w:r>
      <w:r w:rsidR="0060222C">
        <w:rPr>
          <w:rStyle w:val="FootnoteReference"/>
          <w:rFonts w:ascii="Arial" w:hAnsi="Arial" w:cs="Arial"/>
        </w:rPr>
        <w:footnoteReference w:id="1"/>
      </w:r>
      <w:r w:rsidRPr="00693B8C">
        <w:rPr>
          <w:rFonts w:ascii="Arial" w:hAnsi="Arial" w:cs="Arial"/>
        </w:rPr>
        <w:t xml:space="preserve"> agree to support practices in </w:t>
      </w:r>
      <w:r>
        <w:rPr>
          <w:rFonts w:ascii="Arial" w:hAnsi="Arial" w:cs="Arial"/>
        </w:rPr>
        <w:t>exploring different ways of delivering a service to patients in the afternoon on Christmas Eve and New Year’s Eve.</w:t>
      </w:r>
    </w:p>
    <w:p w14:paraId="39889B71" w14:textId="77777777" w:rsidR="00693B8C" w:rsidRDefault="00693B8C" w:rsidP="00356721">
      <w:pPr>
        <w:spacing w:after="0" w:line="240" w:lineRule="auto"/>
        <w:rPr>
          <w:rFonts w:ascii="Arial" w:hAnsi="Arial" w:cs="Arial"/>
        </w:rPr>
      </w:pPr>
    </w:p>
    <w:p w14:paraId="48C00190" w14:textId="77777777" w:rsidR="00693B8C" w:rsidRDefault="00681020" w:rsidP="00356721">
      <w:pPr>
        <w:spacing w:after="0" w:line="240" w:lineRule="auto"/>
        <w:rPr>
          <w:rFonts w:ascii="Arial" w:hAnsi="Arial" w:cs="Arial"/>
          <w:b/>
        </w:rPr>
      </w:pPr>
      <w:r>
        <w:rPr>
          <w:rFonts w:ascii="Arial" w:hAnsi="Arial" w:cs="Arial"/>
          <w:b/>
        </w:rPr>
        <w:t>Details</w:t>
      </w:r>
    </w:p>
    <w:p w14:paraId="0908BE0B" w14:textId="77777777" w:rsidR="00693B8C" w:rsidRDefault="00693B8C" w:rsidP="00356721">
      <w:pPr>
        <w:spacing w:after="0" w:line="240" w:lineRule="auto"/>
        <w:rPr>
          <w:rFonts w:ascii="Arial" w:hAnsi="Arial" w:cs="Arial"/>
          <w:b/>
        </w:rPr>
      </w:pPr>
    </w:p>
    <w:p w14:paraId="2F6F5F79" w14:textId="77777777" w:rsidR="005967BA" w:rsidRDefault="0061771B" w:rsidP="00356721">
      <w:pPr>
        <w:spacing w:after="0" w:line="240" w:lineRule="auto"/>
        <w:rPr>
          <w:rFonts w:ascii="Arial" w:hAnsi="Arial" w:cs="Arial"/>
        </w:rPr>
      </w:pPr>
      <w:r>
        <w:rPr>
          <w:rFonts w:ascii="Arial" w:hAnsi="Arial" w:cs="Arial"/>
        </w:rPr>
        <w:t>Over the past few years</w:t>
      </w:r>
      <w:r w:rsidR="0040737D">
        <w:rPr>
          <w:rFonts w:ascii="Arial" w:hAnsi="Arial" w:cs="Arial"/>
        </w:rPr>
        <w:t>,</w:t>
      </w:r>
      <w:r>
        <w:rPr>
          <w:rFonts w:ascii="Arial" w:hAnsi="Arial" w:cs="Arial"/>
        </w:rPr>
        <w:t xml:space="preserve"> general practices have increasingly been working collaboratively with other practices in a range of ways, from informal collaborations to full scale practice and contract mergers. This direction of travel has been enshrined in the recently published NHSE 10 Year Plan and the GMS/PMS contract changes for 2019/2020 will require all practices to be in some form of collaboration</w:t>
      </w:r>
      <w:r w:rsidR="001A047D">
        <w:rPr>
          <w:rFonts w:ascii="Arial" w:hAnsi="Arial" w:cs="Arial"/>
        </w:rPr>
        <w:t>/PCN</w:t>
      </w:r>
      <w:r>
        <w:rPr>
          <w:rFonts w:ascii="Arial" w:hAnsi="Arial" w:cs="Arial"/>
        </w:rPr>
        <w:t>. A good example of collaboration in Derbyshire has been the delivery of extended access which has been achieved in a variety of wa</w:t>
      </w:r>
      <w:r w:rsidR="005967BA">
        <w:rPr>
          <w:rFonts w:ascii="Arial" w:hAnsi="Arial" w:cs="Arial"/>
        </w:rPr>
        <w:t xml:space="preserve">ys across the CCG footprint; the one common feature has been that all practices have done this collaboratively </w:t>
      </w:r>
      <w:r w:rsidR="001A047D">
        <w:rPr>
          <w:rFonts w:ascii="Arial" w:hAnsi="Arial" w:cs="Arial"/>
        </w:rPr>
        <w:t xml:space="preserve">to a greater or lesser extent </w:t>
      </w:r>
      <w:r w:rsidR="005967BA">
        <w:rPr>
          <w:rFonts w:ascii="Arial" w:hAnsi="Arial" w:cs="Arial"/>
        </w:rPr>
        <w:t>with other practices in their area.</w:t>
      </w:r>
    </w:p>
    <w:p w14:paraId="5EAE76A1" w14:textId="77777777" w:rsidR="005967BA" w:rsidRDefault="005967BA" w:rsidP="00356721">
      <w:pPr>
        <w:spacing w:after="0" w:line="240" w:lineRule="auto"/>
        <w:rPr>
          <w:rFonts w:ascii="Arial" w:hAnsi="Arial" w:cs="Arial"/>
        </w:rPr>
      </w:pPr>
    </w:p>
    <w:p w14:paraId="6609D7E0" w14:textId="77777777" w:rsidR="00681020" w:rsidRDefault="005967BA" w:rsidP="00356721">
      <w:pPr>
        <w:spacing w:after="0" w:line="240" w:lineRule="auto"/>
        <w:rPr>
          <w:rFonts w:ascii="Arial" w:hAnsi="Arial" w:cs="Arial"/>
        </w:rPr>
      </w:pPr>
      <w:r>
        <w:rPr>
          <w:rFonts w:ascii="Arial" w:hAnsi="Arial" w:cs="Arial"/>
        </w:rPr>
        <w:t xml:space="preserve">Historically GP practices have been quiet in the afternoon of both Christmas Eve and New Year’s Eve and this presents an opportunity for practices to meet the demands of their patients (and within their GMS/PMS/APMS contractual obligations) in a different way. </w:t>
      </w:r>
      <w:r w:rsidR="0060222C">
        <w:rPr>
          <w:rFonts w:ascii="Arial" w:hAnsi="Arial" w:cs="Arial"/>
        </w:rPr>
        <w:t xml:space="preserve"> </w:t>
      </w:r>
      <w:r w:rsidR="007456A0">
        <w:rPr>
          <w:rFonts w:ascii="Arial" w:hAnsi="Arial" w:cs="Arial"/>
        </w:rPr>
        <w:t xml:space="preserve">In order to quantify </w:t>
      </w:r>
      <w:r w:rsidR="001A047D">
        <w:rPr>
          <w:rFonts w:ascii="Arial" w:hAnsi="Arial" w:cs="Arial"/>
        </w:rPr>
        <w:t xml:space="preserve">patient </w:t>
      </w:r>
      <w:r w:rsidR="007456A0">
        <w:rPr>
          <w:rFonts w:ascii="Arial" w:hAnsi="Arial" w:cs="Arial"/>
        </w:rPr>
        <w:t>demand w</w:t>
      </w:r>
      <w:r w:rsidR="00681020">
        <w:rPr>
          <w:rFonts w:ascii="Arial" w:hAnsi="Arial" w:cs="Arial"/>
        </w:rPr>
        <w:t>e asked practices to record</w:t>
      </w:r>
      <w:r w:rsidR="0061771B">
        <w:rPr>
          <w:rFonts w:ascii="Arial" w:hAnsi="Arial" w:cs="Arial"/>
        </w:rPr>
        <w:t xml:space="preserve"> information for the periods </w:t>
      </w:r>
      <w:r w:rsidR="00681020">
        <w:rPr>
          <w:rFonts w:ascii="Arial" w:hAnsi="Arial" w:cs="Arial"/>
        </w:rPr>
        <w:t xml:space="preserve">13:00-16:00 </w:t>
      </w:r>
      <w:r w:rsidR="0061771B">
        <w:rPr>
          <w:rFonts w:ascii="Arial" w:hAnsi="Arial" w:cs="Arial"/>
        </w:rPr>
        <w:t xml:space="preserve">and 16:00-18:30 </w:t>
      </w:r>
      <w:r w:rsidR="00681020">
        <w:rPr>
          <w:rFonts w:ascii="Arial" w:hAnsi="Arial" w:cs="Arial"/>
        </w:rPr>
        <w:t xml:space="preserve">on both Christmas Eve and New Year’s Eve 2018. 38 practices, covering a representative </w:t>
      </w:r>
      <w:r w:rsidR="00100B8F">
        <w:rPr>
          <w:rFonts w:ascii="Arial" w:hAnsi="Arial" w:cs="Arial"/>
        </w:rPr>
        <w:t xml:space="preserve">proportion of practices across Derbyshire in terms of size, location and rural/urban demographics, responded and the key results are summarised below. The table shows the average number </w:t>
      </w:r>
      <w:r w:rsidR="001A047D">
        <w:rPr>
          <w:rFonts w:ascii="Arial" w:hAnsi="Arial" w:cs="Arial"/>
        </w:rPr>
        <w:t>and the range in each category</w:t>
      </w:r>
      <w:r w:rsidR="00100B8F">
        <w:rPr>
          <w:rFonts w:ascii="Arial" w:hAnsi="Arial" w:cs="Arial"/>
        </w:rPr>
        <w:t>:</w:t>
      </w:r>
    </w:p>
    <w:p w14:paraId="22ABA0F7" w14:textId="77777777" w:rsidR="00100B8F" w:rsidRDefault="00100B8F" w:rsidP="00356721">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745"/>
        <w:gridCol w:w="1848"/>
        <w:gridCol w:w="1849"/>
        <w:gridCol w:w="1849"/>
      </w:tblGrid>
      <w:tr w:rsidR="00100B8F" w14:paraId="11A6AB97" w14:textId="77777777" w:rsidTr="003F5C9A">
        <w:tc>
          <w:tcPr>
            <w:tcW w:w="1951" w:type="dxa"/>
          </w:tcPr>
          <w:p w14:paraId="2D4AEF7C" w14:textId="77777777" w:rsidR="00100B8F" w:rsidRDefault="00100B8F" w:rsidP="00356721">
            <w:pPr>
              <w:rPr>
                <w:rFonts w:ascii="Arial" w:hAnsi="Arial" w:cs="Arial"/>
              </w:rPr>
            </w:pPr>
          </w:p>
        </w:tc>
        <w:tc>
          <w:tcPr>
            <w:tcW w:w="1745" w:type="dxa"/>
          </w:tcPr>
          <w:p w14:paraId="2ED23407" w14:textId="77777777" w:rsidR="00100B8F" w:rsidRDefault="00100B8F" w:rsidP="00356721">
            <w:pPr>
              <w:rPr>
                <w:rFonts w:ascii="Arial" w:hAnsi="Arial" w:cs="Arial"/>
              </w:rPr>
            </w:pPr>
            <w:r>
              <w:rPr>
                <w:rFonts w:ascii="Arial" w:hAnsi="Arial" w:cs="Arial"/>
              </w:rPr>
              <w:t>Christmas Eve</w:t>
            </w:r>
          </w:p>
          <w:p w14:paraId="5122AB10" w14:textId="77777777" w:rsidR="00100B8F" w:rsidRDefault="00100B8F" w:rsidP="00356721">
            <w:pPr>
              <w:rPr>
                <w:rFonts w:ascii="Arial" w:hAnsi="Arial" w:cs="Arial"/>
              </w:rPr>
            </w:pPr>
            <w:r>
              <w:rPr>
                <w:rFonts w:ascii="Arial" w:hAnsi="Arial" w:cs="Arial"/>
              </w:rPr>
              <w:t>13:00-16:00</w:t>
            </w:r>
          </w:p>
        </w:tc>
        <w:tc>
          <w:tcPr>
            <w:tcW w:w="1848" w:type="dxa"/>
          </w:tcPr>
          <w:p w14:paraId="3A095955" w14:textId="77777777" w:rsidR="00100B8F" w:rsidRDefault="00100B8F" w:rsidP="00100B8F">
            <w:pPr>
              <w:rPr>
                <w:rFonts w:ascii="Arial" w:hAnsi="Arial" w:cs="Arial"/>
              </w:rPr>
            </w:pPr>
            <w:r>
              <w:rPr>
                <w:rFonts w:ascii="Arial" w:hAnsi="Arial" w:cs="Arial"/>
              </w:rPr>
              <w:t>Christmas Eve</w:t>
            </w:r>
          </w:p>
          <w:p w14:paraId="13B4E786" w14:textId="77777777" w:rsidR="00100B8F" w:rsidRDefault="00100B8F" w:rsidP="00100B8F">
            <w:pPr>
              <w:rPr>
                <w:rFonts w:ascii="Arial" w:hAnsi="Arial" w:cs="Arial"/>
              </w:rPr>
            </w:pPr>
            <w:r>
              <w:rPr>
                <w:rFonts w:ascii="Arial" w:hAnsi="Arial" w:cs="Arial"/>
              </w:rPr>
              <w:t>16:00-18:30</w:t>
            </w:r>
          </w:p>
        </w:tc>
        <w:tc>
          <w:tcPr>
            <w:tcW w:w="1849" w:type="dxa"/>
          </w:tcPr>
          <w:p w14:paraId="1E22CAC3" w14:textId="77777777" w:rsidR="00100B8F" w:rsidRDefault="00100B8F" w:rsidP="00100B8F">
            <w:pPr>
              <w:rPr>
                <w:rFonts w:ascii="Arial" w:hAnsi="Arial" w:cs="Arial"/>
              </w:rPr>
            </w:pPr>
            <w:r>
              <w:rPr>
                <w:rFonts w:ascii="Arial" w:hAnsi="Arial" w:cs="Arial"/>
              </w:rPr>
              <w:t>New Year’s Eve</w:t>
            </w:r>
          </w:p>
          <w:p w14:paraId="37C94E77" w14:textId="77777777" w:rsidR="00100B8F" w:rsidRDefault="00100B8F" w:rsidP="00100B8F">
            <w:pPr>
              <w:rPr>
                <w:rFonts w:ascii="Arial" w:hAnsi="Arial" w:cs="Arial"/>
              </w:rPr>
            </w:pPr>
            <w:r>
              <w:rPr>
                <w:rFonts w:ascii="Arial" w:hAnsi="Arial" w:cs="Arial"/>
              </w:rPr>
              <w:t>13:00-16:00</w:t>
            </w:r>
          </w:p>
        </w:tc>
        <w:tc>
          <w:tcPr>
            <w:tcW w:w="1849" w:type="dxa"/>
          </w:tcPr>
          <w:p w14:paraId="40D40AD7" w14:textId="77777777" w:rsidR="00100B8F" w:rsidRDefault="00100B8F" w:rsidP="00100B8F">
            <w:pPr>
              <w:rPr>
                <w:rFonts w:ascii="Arial" w:hAnsi="Arial" w:cs="Arial"/>
              </w:rPr>
            </w:pPr>
            <w:r>
              <w:rPr>
                <w:rFonts w:ascii="Arial" w:hAnsi="Arial" w:cs="Arial"/>
              </w:rPr>
              <w:t>New Year’s Eve</w:t>
            </w:r>
          </w:p>
          <w:p w14:paraId="21B0AB41" w14:textId="77777777" w:rsidR="00100B8F" w:rsidRDefault="00100B8F" w:rsidP="00100B8F">
            <w:pPr>
              <w:rPr>
                <w:rFonts w:ascii="Arial" w:hAnsi="Arial" w:cs="Arial"/>
              </w:rPr>
            </w:pPr>
            <w:r>
              <w:rPr>
                <w:rFonts w:ascii="Arial" w:hAnsi="Arial" w:cs="Arial"/>
              </w:rPr>
              <w:t>16:00-18:30</w:t>
            </w:r>
          </w:p>
        </w:tc>
      </w:tr>
      <w:tr w:rsidR="00100B8F" w14:paraId="2A31B000" w14:textId="77777777" w:rsidTr="003F5C9A">
        <w:tc>
          <w:tcPr>
            <w:tcW w:w="1951" w:type="dxa"/>
          </w:tcPr>
          <w:p w14:paraId="42118491" w14:textId="77777777" w:rsidR="00100B8F" w:rsidRDefault="00100B8F" w:rsidP="00356721">
            <w:pPr>
              <w:rPr>
                <w:rFonts w:ascii="Arial" w:hAnsi="Arial" w:cs="Arial"/>
              </w:rPr>
            </w:pPr>
            <w:r w:rsidRPr="003F5C9A">
              <w:rPr>
                <w:rFonts w:ascii="Arial" w:hAnsi="Arial" w:cs="Arial"/>
                <w:b/>
              </w:rPr>
              <w:t>Telephone Calls</w:t>
            </w:r>
            <w:r w:rsidR="003F5C9A">
              <w:rPr>
                <w:rFonts w:ascii="Arial" w:hAnsi="Arial" w:cs="Arial"/>
              </w:rPr>
              <w:t xml:space="preserve"> F</w:t>
            </w:r>
            <w:r>
              <w:rPr>
                <w:rFonts w:ascii="Arial" w:hAnsi="Arial" w:cs="Arial"/>
              </w:rPr>
              <w:t>rom Patients</w:t>
            </w:r>
          </w:p>
          <w:p w14:paraId="351777CF" w14:textId="77777777" w:rsidR="003F5C9A" w:rsidRDefault="003F5C9A" w:rsidP="00356721">
            <w:pPr>
              <w:rPr>
                <w:rFonts w:ascii="Arial" w:hAnsi="Arial" w:cs="Arial"/>
              </w:rPr>
            </w:pPr>
          </w:p>
          <w:p w14:paraId="605BFE77" w14:textId="77777777" w:rsidR="003F5C9A" w:rsidRDefault="003F5C9A" w:rsidP="00356721">
            <w:pPr>
              <w:rPr>
                <w:rFonts w:ascii="Arial" w:hAnsi="Arial" w:cs="Arial"/>
              </w:rPr>
            </w:pPr>
            <w:r>
              <w:rPr>
                <w:rFonts w:ascii="Arial" w:hAnsi="Arial" w:cs="Arial"/>
              </w:rPr>
              <w:t>From Others (Healthcare providers, CCG, NHSE etc)</w:t>
            </w:r>
          </w:p>
        </w:tc>
        <w:tc>
          <w:tcPr>
            <w:tcW w:w="1745" w:type="dxa"/>
          </w:tcPr>
          <w:p w14:paraId="443DF2E6" w14:textId="77777777" w:rsidR="003F5C9A" w:rsidRDefault="003F5C9A" w:rsidP="00356721">
            <w:pPr>
              <w:rPr>
                <w:rFonts w:ascii="Arial" w:hAnsi="Arial" w:cs="Arial"/>
              </w:rPr>
            </w:pPr>
          </w:p>
          <w:p w14:paraId="179C28F7" w14:textId="77777777" w:rsidR="00332E35" w:rsidRDefault="00482C86" w:rsidP="00356721">
            <w:pPr>
              <w:rPr>
                <w:rFonts w:ascii="Arial" w:hAnsi="Arial" w:cs="Arial"/>
              </w:rPr>
            </w:pPr>
            <w:r>
              <w:rPr>
                <w:rFonts w:ascii="Arial" w:hAnsi="Arial" w:cs="Arial"/>
              </w:rPr>
              <w:t>17.2</w:t>
            </w:r>
            <w:r w:rsidR="00100B8F">
              <w:rPr>
                <w:rFonts w:ascii="Arial" w:hAnsi="Arial" w:cs="Arial"/>
              </w:rPr>
              <w:t xml:space="preserve"> </w:t>
            </w:r>
          </w:p>
          <w:p w14:paraId="5CDC432D" w14:textId="77777777" w:rsidR="00100B8F" w:rsidRDefault="00332E35" w:rsidP="00356721">
            <w:pPr>
              <w:rPr>
                <w:rFonts w:ascii="Arial" w:hAnsi="Arial" w:cs="Arial"/>
              </w:rPr>
            </w:pPr>
            <w:r>
              <w:rPr>
                <w:rFonts w:ascii="Arial" w:hAnsi="Arial" w:cs="Arial"/>
              </w:rPr>
              <w:t xml:space="preserve">(Range </w:t>
            </w:r>
            <w:r w:rsidR="00A96000">
              <w:rPr>
                <w:rFonts w:ascii="Arial" w:hAnsi="Arial" w:cs="Arial"/>
              </w:rPr>
              <w:t>0</w:t>
            </w:r>
            <w:r>
              <w:rPr>
                <w:rFonts w:ascii="Arial" w:hAnsi="Arial" w:cs="Arial"/>
              </w:rPr>
              <w:t>-48)</w:t>
            </w:r>
          </w:p>
          <w:p w14:paraId="0909FF13" w14:textId="77777777" w:rsidR="00482C86" w:rsidRDefault="00482C86" w:rsidP="00356721">
            <w:pPr>
              <w:rPr>
                <w:rFonts w:ascii="Arial" w:hAnsi="Arial" w:cs="Arial"/>
              </w:rPr>
            </w:pPr>
          </w:p>
          <w:p w14:paraId="5F8B3AB1" w14:textId="77777777" w:rsidR="00482C86" w:rsidRDefault="00482C86" w:rsidP="00482C86">
            <w:pPr>
              <w:rPr>
                <w:rFonts w:ascii="Arial" w:hAnsi="Arial" w:cs="Arial"/>
              </w:rPr>
            </w:pPr>
            <w:r>
              <w:rPr>
                <w:rFonts w:ascii="Arial" w:hAnsi="Arial" w:cs="Arial"/>
              </w:rPr>
              <w:t>3.4</w:t>
            </w:r>
          </w:p>
          <w:p w14:paraId="7B577A61" w14:textId="77777777" w:rsidR="00482C86" w:rsidRDefault="00482C86" w:rsidP="00482C86">
            <w:pPr>
              <w:rPr>
                <w:rFonts w:ascii="Arial" w:hAnsi="Arial" w:cs="Arial"/>
              </w:rPr>
            </w:pPr>
            <w:r>
              <w:rPr>
                <w:rFonts w:ascii="Arial" w:hAnsi="Arial" w:cs="Arial"/>
              </w:rPr>
              <w:t>(Range 0-12)</w:t>
            </w:r>
          </w:p>
          <w:p w14:paraId="65FED286" w14:textId="77777777" w:rsidR="00482C86" w:rsidRDefault="00482C86" w:rsidP="00356721">
            <w:pPr>
              <w:rPr>
                <w:rFonts w:ascii="Arial" w:hAnsi="Arial" w:cs="Arial"/>
              </w:rPr>
            </w:pPr>
          </w:p>
        </w:tc>
        <w:tc>
          <w:tcPr>
            <w:tcW w:w="1848" w:type="dxa"/>
          </w:tcPr>
          <w:p w14:paraId="7BDF3F1C" w14:textId="77777777" w:rsidR="003F5C9A" w:rsidRDefault="003F5C9A" w:rsidP="00356721">
            <w:pPr>
              <w:rPr>
                <w:rFonts w:ascii="Arial" w:hAnsi="Arial" w:cs="Arial"/>
              </w:rPr>
            </w:pPr>
          </w:p>
          <w:p w14:paraId="3E850C9C" w14:textId="77777777" w:rsidR="00100B8F" w:rsidRDefault="00482C86" w:rsidP="00356721">
            <w:pPr>
              <w:rPr>
                <w:rFonts w:ascii="Arial" w:hAnsi="Arial" w:cs="Arial"/>
              </w:rPr>
            </w:pPr>
            <w:r>
              <w:rPr>
                <w:rFonts w:ascii="Arial" w:hAnsi="Arial" w:cs="Arial"/>
              </w:rPr>
              <w:t>3.7</w:t>
            </w:r>
          </w:p>
          <w:p w14:paraId="114184D5" w14:textId="77777777" w:rsidR="00482C86" w:rsidRDefault="00332E35" w:rsidP="00482C86">
            <w:pPr>
              <w:rPr>
                <w:rFonts w:ascii="Arial" w:hAnsi="Arial" w:cs="Arial"/>
              </w:rPr>
            </w:pPr>
            <w:r>
              <w:rPr>
                <w:rFonts w:ascii="Arial" w:hAnsi="Arial" w:cs="Arial"/>
              </w:rPr>
              <w:t>(Range 0-24)</w:t>
            </w:r>
            <w:r w:rsidR="00482C86">
              <w:rPr>
                <w:rFonts w:ascii="Arial" w:hAnsi="Arial" w:cs="Arial"/>
              </w:rPr>
              <w:t xml:space="preserve"> </w:t>
            </w:r>
          </w:p>
          <w:p w14:paraId="19918FC9" w14:textId="77777777" w:rsidR="00482C86" w:rsidRDefault="00482C86" w:rsidP="00482C86">
            <w:pPr>
              <w:rPr>
                <w:rFonts w:ascii="Arial" w:hAnsi="Arial" w:cs="Arial"/>
              </w:rPr>
            </w:pPr>
          </w:p>
          <w:p w14:paraId="0045D289" w14:textId="77777777" w:rsidR="00482C86" w:rsidRDefault="00482C86" w:rsidP="00482C86">
            <w:pPr>
              <w:rPr>
                <w:rFonts w:ascii="Arial" w:hAnsi="Arial" w:cs="Arial"/>
              </w:rPr>
            </w:pPr>
            <w:r>
              <w:rPr>
                <w:rFonts w:ascii="Arial" w:hAnsi="Arial" w:cs="Arial"/>
              </w:rPr>
              <w:t xml:space="preserve">0.8 </w:t>
            </w:r>
          </w:p>
          <w:p w14:paraId="11AA944F" w14:textId="77777777" w:rsidR="00482C86" w:rsidRDefault="00482C86" w:rsidP="00482C86">
            <w:pPr>
              <w:rPr>
                <w:rFonts w:ascii="Arial" w:hAnsi="Arial" w:cs="Arial"/>
              </w:rPr>
            </w:pPr>
            <w:r>
              <w:rPr>
                <w:rFonts w:ascii="Arial" w:hAnsi="Arial" w:cs="Arial"/>
              </w:rPr>
              <w:t>(Range 0-4)</w:t>
            </w:r>
          </w:p>
          <w:p w14:paraId="58085990" w14:textId="77777777" w:rsidR="00332E35" w:rsidRDefault="00332E35" w:rsidP="00356721">
            <w:pPr>
              <w:rPr>
                <w:rFonts w:ascii="Arial" w:hAnsi="Arial" w:cs="Arial"/>
              </w:rPr>
            </w:pPr>
          </w:p>
        </w:tc>
        <w:tc>
          <w:tcPr>
            <w:tcW w:w="1849" w:type="dxa"/>
          </w:tcPr>
          <w:p w14:paraId="5360E0BB" w14:textId="77777777" w:rsidR="003F5C9A" w:rsidRDefault="003F5C9A" w:rsidP="00356721">
            <w:pPr>
              <w:rPr>
                <w:rFonts w:ascii="Arial" w:hAnsi="Arial" w:cs="Arial"/>
              </w:rPr>
            </w:pPr>
          </w:p>
          <w:p w14:paraId="469A35CF" w14:textId="77777777" w:rsidR="00332E35" w:rsidRDefault="00482C86" w:rsidP="00356721">
            <w:pPr>
              <w:rPr>
                <w:rFonts w:ascii="Arial" w:hAnsi="Arial" w:cs="Arial"/>
              </w:rPr>
            </w:pPr>
            <w:r>
              <w:rPr>
                <w:rFonts w:ascii="Arial" w:hAnsi="Arial" w:cs="Arial"/>
              </w:rPr>
              <w:t>22.5</w:t>
            </w:r>
            <w:r w:rsidR="00332E35">
              <w:rPr>
                <w:rFonts w:ascii="Arial" w:hAnsi="Arial" w:cs="Arial"/>
              </w:rPr>
              <w:t xml:space="preserve"> </w:t>
            </w:r>
          </w:p>
          <w:p w14:paraId="250F11CE" w14:textId="77777777" w:rsidR="00482C86" w:rsidRDefault="00332E35" w:rsidP="00482C86">
            <w:pPr>
              <w:rPr>
                <w:rFonts w:ascii="Arial" w:hAnsi="Arial" w:cs="Arial"/>
              </w:rPr>
            </w:pPr>
            <w:r>
              <w:rPr>
                <w:rFonts w:ascii="Arial" w:hAnsi="Arial" w:cs="Arial"/>
              </w:rPr>
              <w:t>(Range 1-73)</w:t>
            </w:r>
            <w:r w:rsidR="00482C86">
              <w:rPr>
                <w:rFonts w:ascii="Arial" w:hAnsi="Arial" w:cs="Arial"/>
              </w:rPr>
              <w:t xml:space="preserve"> </w:t>
            </w:r>
          </w:p>
          <w:p w14:paraId="4E2AC9E0" w14:textId="77777777" w:rsidR="00482C86" w:rsidRDefault="00482C86" w:rsidP="00482C86">
            <w:pPr>
              <w:rPr>
                <w:rFonts w:ascii="Arial" w:hAnsi="Arial" w:cs="Arial"/>
              </w:rPr>
            </w:pPr>
          </w:p>
          <w:p w14:paraId="5A8F7F80" w14:textId="77777777" w:rsidR="00482C86" w:rsidRDefault="00482C86" w:rsidP="00482C86">
            <w:pPr>
              <w:rPr>
                <w:rFonts w:ascii="Arial" w:hAnsi="Arial" w:cs="Arial"/>
              </w:rPr>
            </w:pPr>
            <w:r>
              <w:rPr>
                <w:rFonts w:ascii="Arial" w:hAnsi="Arial" w:cs="Arial"/>
              </w:rPr>
              <w:t>2.9</w:t>
            </w:r>
          </w:p>
          <w:p w14:paraId="4E1B2545" w14:textId="77777777" w:rsidR="00482C86" w:rsidRDefault="00482C86" w:rsidP="00482C86">
            <w:pPr>
              <w:rPr>
                <w:rFonts w:ascii="Arial" w:hAnsi="Arial" w:cs="Arial"/>
              </w:rPr>
            </w:pPr>
            <w:r>
              <w:rPr>
                <w:rFonts w:ascii="Arial" w:hAnsi="Arial" w:cs="Arial"/>
              </w:rPr>
              <w:t>(Range 0-11)</w:t>
            </w:r>
          </w:p>
          <w:p w14:paraId="0271A4C2" w14:textId="77777777" w:rsidR="00100B8F" w:rsidRDefault="00100B8F" w:rsidP="00332E35">
            <w:pPr>
              <w:rPr>
                <w:rFonts w:ascii="Arial" w:hAnsi="Arial" w:cs="Arial"/>
              </w:rPr>
            </w:pPr>
          </w:p>
        </w:tc>
        <w:tc>
          <w:tcPr>
            <w:tcW w:w="1849" w:type="dxa"/>
          </w:tcPr>
          <w:p w14:paraId="5CCA4E0A" w14:textId="77777777" w:rsidR="003F5C9A" w:rsidRDefault="003F5C9A" w:rsidP="00356721">
            <w:pPr>
              <w:rPr>
                <w:rFonts w:ascii="Arial" w:hAnsi="Arial" w:cs="Arial"/>
              </w:rPr>
            </w:pPr>
          </w:p>
          <w:p w14:paraId="5820ABE0" w14:textId="77777777" w:rsidR="00332E35" w:rsidRDefault="00482C86" w:rsidP="00356721">
            <w:pPr>
              <w:rPr>
                <w:rFonts w:ascii="Arial" w:hAnsi="Arial" w:cs="Arial"/>
              </w:rPr>
            </w:pPr>
            <w:r>
              <w:rPr>
                <w:rFonts w:ascii="Arial" w:hAnsi="Arial" w:cs="Arial"/>
              </w:rPr>
              <w:t>7.2</w:t>
            </w:r>
          </w:p>
          <w:p w14:paraId="786EA3D6" w14:textId="77777777" w:rsidR="00482C86" w:rsidRDefault="00332E35" w:rsidP="00482C86">
            <w:pPr>
              <w:rPr>
                <w:rFonts w:ascii="Arial" w:hAnsi="Arial" w:cs="Arial"/>
              </w:rPr>
            </w:pPr>
            <w:r>
              <w:rPr>
                <w:rFonts w:ascii="Arial" w:hAnsi="Arial" w:cs="Arial"/>
              </w:rPr>
              <w:t>(Range 0-43)</w:t>
            </w:r>
            <w:r w:rsidR="00482C86">
              <w:rPr>
                <w:rFonts w:ascii="Arial" w:hAnsi="Arial" w:cs="Arial"/>
              </w:rPr>
              <w:t xml:space="preserve"> </w:t>
            </w:r>
          </w:p>
          <w:p w14:paraId="4790456C" w14:textId="77777777" w:rsidR="00482C86" w:rsidRDefault="00482C86" w:rsidP="00482C86">
            <w:pPr>
              <w:rPr>
                <w:rFonts w:ascii="Arial" w:hAnsi="Arial" w:cs="Arial"/>
              </w:rPr>
            </w:pPr>
          </w:p>
          <w:p w14:paraId="04C423AB" w14:textId="77777777" w:rsidR="00482C86" w:rsidRDefault="005F2C81" w:rsidP="00482C86">
            <w:pPr>
              <w:rPr>
                <w:rFonts w:ascii="Arial" w:hAnsi="Arial" w:cs="Arial"/>
              </w:rPr>
            </w:pPr>
            <w:r>
              <w:rPr>
                <w:rFonts w:ascii="Arial" w:hAnsi="Arial" w:cs="Arial"/>
              </w:rPr>
              <w:t>0.8</w:t>
            </w:r>
            <w:r w:rsidR="00482C86">
              <w:rPr>
                <w:rFonts w:ascii="Arial" w:hAnsi="Arial" w:cs="Arial"/>
              </w:rPr>
              <w:t xml:space="preserve"> </w:t>
            </w:r>
          </w:p>
          <w:p w14:paraId="73990C05" w14:textId="77777777" w:rsidR="00482C86" w:rsidRDefault="00482C86" w:rsidP="00482C86">
            <w:pPr>
              <w:rPr>
                <w:rFonts w:ascii="Arial" w:hAnsi="Arial" w:cs="Arial"/>
              </w:rPr>
            </w:pPr>
            <w:r>
              <w:rPr>
                <w:rFonts w:ascii="Arial" w:hAnsi="Arial" w:cs="Arial"/>
              </w:rPr>
              <w:t xml:space="preserve">(Range </w:t>
            </w:r>
            <w:r w:rsidR="005F2C81">
              <w:rPr>
                <w:rFonts w:ascii="Arial" w:hAnsi="Arial" w:cs="Arial"/>
              </w:rPr>
              <w:t>0-5</w:t>
            </w:r>
            <w:r>
              <w:rPr>
                <w:rFonts w:ascii="Arial" w:hAnsi="Arial" w:cs="Arial"/>
              </w:rPr>
              <w:t>)</w:t>
            </w:r>
          </w:p>
          <w:p w14:paraId="516EFECC" w14:textId="77777777" w:rsidR="00100B8F" w:rsidRDefault="00100B8F" w:rsidP="00356721">
            <w:pPr>
              <w:rPr>
                <w:rFonts w:ascii="Arial" w:hAnsi="Arial" w:cs="Arial"/>
              </w:rPr>
            </w:pPr>
          </w:p>
        </w:tc>
      </w:tr>
      <w:tr w:rsidR="003F5C9A" w14:paraId="1FD3134A" w14:textId="77777777" w:rsidTr="003F5C9A">
        <w:tc>
          <w:tcPr>
            <w:tcW w:w="1951" w:type="dxa"/>
          </w:tcPr>
          <w:p w14:paraId="4F39CC50" w14:textId="77777777" w:rsidR="003F5C9A" w:rsidRDefault="003F5C9A" w:rsidP="00356721">
            <w:pPr>
              <w:rPr>
                <w:rFonts w:ascii="Arial" w:hAnsi="Arial" w:cs="Arial"/>
                <w:b/>
              </w:rPr>
            </w:pPr>
            <w:r w:rsidRPr="003F5C9A">
              <w:rPr>
                <w:rFonts w:ascii="Arial" w:hAnsi="Arial" w:cs="Arial"/>
                <w:b/>
              </w:rPr>
              <w:t>Walk in patients</w:t>
            </w:r>
          </w:p>
          <w:p w14:paraId="775FEA82" w14:textId="77777777" w:rsidR="003F5C9A" w:rsidRDefault="003F5C9A" w:rsidP="00356721">
            <w:pPr>
              <w:rPr>
                <w:rFonts w:ascii="Arial" w:hAnsi="Arial" w:cs="Arial"/>
              </w:rPr>
            </w:pPr>
            <w:r w:rsidRPr="003F5C9A">
              <w:rPr>
                <w:rFonts w:ascii="Arial" w:hAnsi="Arial" w:cs="Arial"/>
              </w:rPr>
              <w:t>To see clinician</w:t>
            </w:r>
          </w:p>
          <w:p w14:paraId="35B46813" w14:textId="77777777" w:rsidR="003F5C9A" w:rsidRDefault="003F5C9A" w:rsidP="00356721">
            <w:pPr>
              <w:rPr>
                <w:rFonts w:ascii="Arial" w:hAnsi="Arial" w:cs="Arial"/>
              </w:rPr>
            </w:pPr>
          </w:p>
          <w:p w14:paraId="65097BA3" w14:textId="77777777" w:rsidR="003F5C9A" w:rsidRPr="003F5C9A" w:rsidRDefault="003F5C9A" w:rsidP="00356721">
            <w:pPr>
              <w:rPr>
                <w:rFonts w:ascii="Arial" w:hAnsi="Arial" w:cs="Arial"/>
              </w:rPr>
            </w:pPr>
            <w:r>
              <w:rPr>
                <w:rFonts w:ascii="Arial" w:hAnsi="Arial" w:cs="Arial"/>
              </w:rPr>
              <w:t>To collect prescription</w:t>
            </w:r>
          </w:p>
        </w:tc>
        <w:tc>
          <w:tcPr>
            <w:tcW w:w="1745" w:type="dxa"/>
          </w:tcPr>
          <w:p w14:paraId="37D91B25" w14:textId="77777777" w:rsidR="003F5C9A" w:rsidRDefault="003F5C9A" w:rsidP="00356721">
            <w:pPr>
              <w:rPr>
                <w:rFonts w:ascii="Arial" w:hAnsi="Arial" w:cs="Arial"/>
              </w:rPr>
            </w:pPr>
          </w:p>
          <w:p w14:paraId="1EF328BE" w14:textId="77777777" w:rsidR="003F5C9A" w:rsidRDefault="00482C86" w:rsidP="00356721">
            <w:pPr>
              <w:rPr>
                <w:rFonts w:ascii="Arial" w:hAnsi="Arial" w:cs="Arial"/>
              </w:rPr>
            </w:pPr>
            <w:r>
              <w:rPr>
                <w:rFonts w:ascii="Arial" w:hAnsi="Arial" w:cs="Arial"/>
              </w:rPr>
              <w:t>2.3</w:t>
            </w:r>
          </w:p>
          <w:p w14:paraId="716ED3BE" w14:textId="77777777" w:rsidR="003F5C9A" w:rsidRDefault="003F5C9A" w:rsidP="00356721">
            <w:pPr>
              <w:rPr>
                <w:rFonts w:ascii="Arial" w:hAnsi="Arial" w:cs="Arial"/>
              </w:rPr>
            </w:pPr>
            <w:r>
              <w:rPr>
                <w:rFonts w:ascii="Arial" w:hAnsi="Arial" w:cs="Arial"/>
              </w:rPr>
              <w:t>(Range 0-16)</w:t>
            </w:r>
          </w:p>
          <w:p w14:paraId="43BE0E3E" w14:textId="77777777" w:rsidR="003F5C9A" w:rsidRDefault="00482C86" w:rsidP="003F5C9A">
            <w:pPr>
              <w:rPr>
                <w:rFonts w:ascii="Arial" w:hAnsi="Arial" w:cs="Arial"/>
              </w:rPr>
            </w:pPr>
            <w:r>
              <w:rPr>
                <w:rFonts w:ascii="Arial" w:hAnsi="Arial" w:cs="Arial"/>
              </w:rPr>
              <w:t>8.6</w:t>
            </w:r>
          </w:p>
          <w:p w14:paraId="6D3541DA" w14:textId="77777777" w:rsidR="003F5C9A" w:rsidRDefault="003F5C9A" w:rsidP="00356721">
            <w:pPr>
              <w:rPr>
                <w:rFonts w:ascii="Arial" w:hAnsi="Arial" w:cs="Arial"/>
              </w:rPr>
            </w:pPr>
            <w:r>
              <w:rPr>
                <w:rFonts w:ascii="Arial" w:hAnsi="Arial" w:cs="Arial"/>
              </w:rPr>
              <w:t>(Range 0-39)</w:t>
            </w:r>
          </w:p>
        </w:tc>
        <w:tc>
          <w:tcPr>
            <w:tcW w:w="1848" w:type="dxa"/>
          </w:tcPr>
          <w:p w14:paraId="2F2C4687" w14:textId="77777777" w:rsidR="003F5C9A" w:rsidRDefault="003F5C9A" w:rsidP="003F5C9A">
            <w:pPr>
              <w:rPr>
                <w:rFonts w:ascii="Arial" w:hAnsi="Arial" w:cs="Arial"/>
              </w:rPr>
            </w:pPr>
          </w:p>
          <w:p w14:paraId="509A661C" w14:textId="77777777" w:rsidR="003F5C9A" w:rsidRDefault="003F5C9A" w:rsidP="003F5C9A">
            <w:pPr>
              <w:rPr>
                <w:rFonts w:ascii="Arial" w:hAnsi="Arial" w:cs="Arial"/>
              </w:rPr>
            </w:pPr>
            <w:r>
              <w:rPr>
                <w:rFonts w:ascii="Arial" w:hAnsi="Arial" w:cs="Arial"/>
              </w:rPr>
              <w:t>0.4</w:t>
            </w:r>
          </w:p>
          <w:p w14:paraId="4E4C1B6F" w14:textId="77777777" w:rsidR="003F5C9A" w:rsidRDefault="003F5C9A" w:rsidP="003F5C9A">
            <w:pPr>
              <w:rPr>
                <w:rFonts w:ascii="Arial" w:hAnsi="Arial" w:cs="Arial"/>
              </w:rPr>
            </w:pPr>
            <w:r>
              <w:rPr>
                <w:rFonts w:ascii="Arial" w:hAnsi="Arial" w:cs="Arial"/>
              </w:rPr>
              <w:t>(Range 0-9)</w:t>
            </w:r>
          </w:p>
          <w:p w14:paraId="58C5544E" w14:textId="77777777" w:rsidR="003F5C9A" w:rsidRDefault="00482C86" w:rsidP="003F5C9A">
            <w:pPr>
              <w:rPr>
                <w:rFonts w:ascii="Arial" w:hAnsi="Arial" w:cs="Arial"/>
              </w:rPr>
            </w:pPr>
            <w:r>
              <w:rPr>
                <w:rFonts w:ascii="Arial" w:hAnsi="Arial" w:cs="Arial"/>
              </w:rPr>
              <w:t>2.8</w:t>
            </w:r>
          </w:p>
          <w:p w14:paraId="25400C27" w14:textId="77777777" w:rsidR="003F5C9A" w:rsidRDefault="003F5C9A" w:rsidP="003F5C9A">
            <w:pPr>
              <w:rPr>
                <w:rFonts w:ascii="Arial" w:hAnsi="Arial" w:cs="Arial"/>
              </w:rPr>
            </w:pPr>
            <w:r>
              <w:rPr>
                <w:rFonts w:ascii="Arial" w:hAnsi="Arial" w:cs="Arial"/>
              </w:rPr>
              <w:t>(Range 0-22)</w:t>
            </w:r>
          </w:p>
        </w:tc>
        <w:tc>
          <w:tcPr>
            <w:tcW w:w="1849" w:type="dxa"/>
          </w:tcPr>
          <w:p w14:paraId="251F0983" w14:textId="77777777" w:rsidR="003F5C9A" w:rsidRDefault="003F5C9A" w:rsidP="00EE14B5">
            <w:pPr>
              <w:rPr>
                <w:rFonts w:ascii="Arial" w:hAnsi="Arial" w:cs="Arial"/>
              </w:rPr>
            </w:pPr>
          </w:p>
          <w:p w14:paraId="32BCBC29" w14:textId="77777777" w:rsidR="003F5C9A" w:rsidRDefault="00482C86" w:rsidP="00EE14B5">
            <w:pPr>
              <w:rPr>
                <w:rFonts w:ascii="Arial" w:hAnsi="Arial" w:cs="Arial"/>
              </w:rPr>
            </w:pPr>
            <w:r>
              <w:rPr>
                <w:rFonts w:ascii="Arial" w:hAnsi="Arial" w:cs="Arial"/>
              </w:rPr>
              <w:t>3.0</w:t>
            </w:r>
          </w:p>
          <w:p w14:paraId="0D8B3502" w14:textId="77777777" w:rsidR="003F5C9A" w:rsidRDefault="003F5C9A" w:rsidP="00EE14B5">
            <w:pPr>
              <w:rPr>
                <w:rFonts w:ascii="Arial" w:hAnsi="Arial" w:cs="Arial"/>
              </w:rPr>
            </w:pPr>
            <w:r>
              <w:rPr>
                <w:rFonts w:ascii="Arial" w:hAnsi="Arial" w:cs="Arial"/>
              </w:rPr>
              <w:t>(Range 0-15)</w:t>
            </w:r>
          </w:p>
          <w:p w14:paraId="307D4579" w14:textId="77777777" w:rsidR="003F5C9A" w:rsidRDefault="00482C86" w:rsidP="00EE14B5">
            <w:pPr>
              <w:rPr>
                <w:rFonts w:ascii="Arial" w:hAnsi="Arial" w:cs="Arial"/>
              </w:rPr>
            </w:pPr>
            <w:r>
              <w:rPr>
                <w:rFonts w:ascii="Arial" w:hAnsi="Arial" w:cs="Arial"/>
              </w:rPr>
              <w:t>6.6</w:t>
            </w:r>
          </w:p>
          <w:p w14:paraId="50DF1231" w14:textId="77777777" w:rsidR="003F5C9A" w:rsidRDefault="003F5C9A" w:rsidP="00EE14B5">
            <w:pPr>
              <w:rPr>
                <w:rFonts w:ascii="Arial" w:hAnsi="Arial" w:cs="Arial"/>
              </w:rPr>
            </w:pPr>
            <w:r>
              <w:rPr>
                <w:rFonts w:ascii="Arial" w:hAnsi="Arial" w:cs="Arial"/>
              </w:rPr>
              <w:t>(Range 0-35)</w:t>
            </w:r>
          </w:p>
        </w:tc>
        <w:tc>
          <w:tcPr>
            <w:tcW w:w="1849" w:type="dxa"/>
          </w:tcPr>
          <w:p w14:paraId="18C9B679" w14:textId="77777777" w:rsidR="003F5C9A" w:rsidRDefault="003F5C9A" w:rsidP="00EE14B5">
            <w:pPr>
              <w:rPr>
                <w:rFonts w:ascii="Arial" w:hAnsi="Arial" w:cs="Arial"/>
              </w:rPr>
            </w:pPr>
          </w:p>
          <w:p w14:paraId="0D69FD2D" w14:textId="77777777" w:rsidR="003F5C9A" w:rsidRDefault="003F5C9A" w:rsidP="00EE14B5">
            <w:pPr>
              <w:rPr>
                <w:rFonts w:ascii="Arial" w:hAnsi="Arial" w:cs="Arial"/>
              </w:rPr>
            </w:pPr>
            <w:r>
              <w:rPr>
                <w:rFonts w:ascii="Arial" w:hAnsi="Arial" w:cs="Arial"/>
              </w:rPr>
              <w:t>0.7</w:t>
            </w:r>
          </w:p>
          <w:p w14:paraId="36226A2F" w14:textId="77777777" w:rsidR="003F5C9A" w:rsidRDefault="003F5C9A" w:rsidP="00EE14B5">
            <w:pPr>
              <w:rPr>
                <w:rFonts w:ascii="Arial" w:hAnsi="Arial" w:cs="Arial"/>
              </w:rPr>
            </w:pPr>
            <w:r>
              <w:rPr>
                <w:rFonts w:ascii="Arial" w:hAnsi="Arial" w:cs="Arial"/>
              </w:rPr>
              <w:t>(Range 0-8)</w:t>
            </w:r>
          </w:p>
          <w:p w14:paraId="615067D0" w14:textId="77777777" w:rsidR="003F5C9A" w:rsidRDefault="00482C86" w:rsidP="00EE14B5">
            <w:pPr>
              <w:rPr>
                <w:rFonts w:ascii="Arial" w:hAnsi="Arial" w:cs="Arial"/>
              </w:rPr>
            </w:pPr>
            <w:r>
              <w:rPr>
                <w:rFonts w:ascii="Arial" w:hAnsi="Arial" w:cs="Arial"/>
              </w:rPr>
              <w:t>1.6</w:t>
            </w:r>
          </w:p>
          <w:p w14:paraId="64AB6F20" w14:textId="77777777" w:rsidR="003F5C9A" w:rsidRDefault="003F5C9A" w:rsidP="00EE14B5">
            <w:pPr>
              <w:rPr>
                <w:rFonts w:ascii="Arial" w:hAnsi="Arial" w:cs="Arial"/>
              </w:rPr>
            </w:pPr>
            <w:r>
              <w:rPr>
                <w:rFonts w:ascii="Arial" w:hAnsi="Arial" w:cs="Arial"/>
              </w:rPr>
              <w:t>(Range 0-13)</w:t>
            </w:r>
          </w:p>
        </w:tc>
      </w:tr>
    </w:tbl>
    <w:p w14:paraId="7F97D09A" w14:textId="77777777" w:rsidR="00100B8F" w:rsidRDefault="00100B8F" w:rsidP="00356721">
      <w:pPr>
        <w:spacing w:after="0" w:line="240" w:lineRule="auto"/>
        <w:rPr>
          <w:rFonts w:ascii="Arial" w:hAnsi="Arial" w:cs="Arial"/>
        </w:rPr>
      </w:pPr>
    </w:p>
    <w:p w14:paraId="7E2A9229" w14:textId="77777777" w:rsidR="005F2C81" w:rsidRDefault="00165F4C" w:rsidP="00356721">
      <w:pPr>
        <w:spacing w:after="0" w:line="240" w:lineRule="auto"/>
        <w:rPr>
          <w:rFonts w:ascii="Arial" w:hAnsi="Arial" w:cs="Arial"/>
        </w:rPr>
      </w:pPr>
      <w:r>
        <w:rPr>
          <w:rFonts w:ascii="Arial" w:hAnsi="Arial" w:cs="Arial"/>
        </w:rPr>
        <w:t xml:space="preserve">It is worth noting that across the board the averages were pushed up by 1 or 2 </w:t>
      </w:r>
      <w:r w:rsidR="007479B0">
        <w:rPr>
          <w:rFonts w:ascii="Arial" w:hAnsi="Arial" w:cs="Arial"/>
        </w:rPr>
        <w:t>significa</w:t>
      </w:r>
      <w:r w:rsidR="001A047D">
        <w:rPr>
          <w:rFonts w:ascii="Arial" w:hAnsi="Arial" w:cs="Arial"/>
        </w:rPr>
        <w:t>nt outliers. It is also worth noting t</w:t>
      </w:r>
      <w:r w:rsidR="00A066C5">
        <w:rPr>
          <w:rFonts w:ascii="Arial" w:hAnsi="Arial" w:cs="Arial"/>
        </w:rPr>
        <w:t>h</w:t>
      </w:r>
      <w:r w:rsidR="001A047D">
        <w:rPr>
          <w:rFonts w:ascii="Arial" w:hAnsi="Arial" w:cs="Arial"/>
        </w:rPr>
        <w:t>at call</w:t>
      </w:r>
      <w:r w:rsidR="00A066C5">
        <w:rPr>
          <w:rFonts w:ascii="Arial" w:hAnsi="Arial" w:cs="Arial"/>
        </w:rPr>
        <w:t>s</w:t>
      </w:r>
      <w:r w:rsidR="001A047D">
        <w:rPr>
          <w:rFonts w:ascii="Arial" w:hAnsi="Arial" w:cs="Arial"/>
        </w:rPr>
        <w:t xml:space="preserve"> from </w:t>
      </w:r>
      <w:r w:rsidR="00A066C5">
        <w:rPr>
          <w:rFonts w:ascii="Arial" w:hAnsi="Arial" w:cs="Arial"/>
        </w:rPr>
        <w:t xml:space="preserve">the </w:t>
      </w:r>
      <w:r w:rsidR="001A047D">
        <w:rPr>
          <w:rFonts w:ascii="Arial" w:hAnsi="Arial" w:cs="Arial"/>
        </w:rPr>
        <w:t xml:space="preserve">CCG and NHSE </w:t>
      </w:r>
      <w:r w:rsidR="00A066C5">
        <w:rPr>
          <w:rFonts w:ascii="Arial" w:hAnsi="Arial" w:cs="Arial"/>
        </w:rPr>
        <w:t xml:space="preserve">were minimal with a total of 29 calls to 38 practices during the entire period of the survey. </w:t>
      </w:r>
    </w:p>
    <w:p w14:paraId="42363697" w14:textId="77777777" w:rsidR="007479B0" w:rsidRDefault="007479B0" w:rsidP="00356721">
      <w:pPr>
        <w:spacing w:after="0" w:line="240" w:lineRule="auto"/>
        <w:rPr>
          <w:rFonts w:ascii="Arial" w:hAnsi="Arial" w:cs="Arial"/>
        </w:rPr>
      </w:pPr>
    </w:p>
    <w:p w14:paraId="34D916E6" w14:textId="77777777" w:rsidR="007456A0" w:rsidRDefault="007479B0" w:rsidP="007456A0">
      <w:pPr>
        <w:spacing w:after="0" w:line="240" w:lineRule="auto"/>
        <w:rPr>
          <w:rFonts w:ascii="Arial" w:hAnsi="Arial" w:cs="Arial"/>
        </w:rPr>
      </w:pPr>
      <w:r>
        <w:rPr>
          <w:rFonts w:ascii="Arial" w:hAnsi="Arial" w:cs="Arial"/>
        </w:rPr>
        <w:t>With this representative, quantifiable evidence, which proves that patient demand during these periods is low, t</w:t>
      </w:r>
      <w:r w:rsidR="007456A0">
        <w:rPr>
          <w:rFonts w:ascii="Arial" w:hAnsi="Arial" w:cs="Arial"/>
        </w:rPr>
        <w:t>he LMC view is that practices should be supported in looking at 3 broad options:</w:t>
      </w:r>
    </w:p>
    <w:p w14:paraId="07503972" w14:textId="77777777" w:rsidR="007456A0" w:rsidRDefault="007456A0" w:rsidP="007456A0">
      <w:pPr>
        <w:pStyle w:val="ListParagraph"/>
        <w:numPr>
          <w:ilvl w:val="0"/>
          <w:numId w:val="1"/>
        </w:numPr>
        <w:spacing w:after="0" w:line="240" w:lineRule="auto"/>
        <w:rPr>
          <w:rFonts w:ascii="Arial" w:hAnsi="Arial" w:cs="Arial"/>
        </w:rPr>
      </w:pPr>
      <w:r>
        <w:rPr>
          <w:rFonts w:ascii="Arial" w:hAnsi="Arial" w:cs="Arial"/>
        </w:rPr>
        <w:t>Through collaborative working with other local practices. This may be in the same groupings as the extended hour’s hubs and would allow practices to meet their patient needs with a more efficient use of resources.</w:t>
      </w:r>
    </w:p>
    <w:p w14:paraId="2BB86D42" w14:textId="77777777" w:rsidR="007456A0" w:rsidRDefault="007456A0" w:rsidP="007456A0">
      <w:pPr>
        <w:pStyle w:val="ListParagraph"/>
        <w:numPr>
          <w:ilvl w:val="0"/>
          <w:numId w:val="1"/>
        </w:numPr>
        <w:spacing w:after="0" w:line="240" w:lineRule="auto"/>
        <w:rPr>
          <w:rFonts w:ascii="Arial" w:hAnsi="Arial" w:cs="Arial"/>
        </w:rPr>
      </w:pPr>
      <w:r>
        <w:rPr>
          <w:rFonts w:ascii="Arial" w:hAnsi="Arial" w:cs="Arial"/>
        </w:rPr>
        <w:t>Through OOH. With sufficient notice and engagement DHU have indicated that they may be able to cover these periods with practices handing over to DHU at a pre-arranged time for a fee. This would mirror the current process for practice closures during QUEST training and was successfully implemented in parts of Leicestershire in 2018.</w:t>
      </w:r>
    </w:p>
    <w:p w14:paraId="5D444235" w14:textId="77777777" w:rsidR="007456A0" w:rsidRPr="005967BA" w:rsidRDefault="007456A0" w:rsidP="007456A0">
      <w:pPr>
        <w:pStyle w:val="ListParagraph"/>
        <w:numPr>
          <w:ilvl w:val="0"/>
          <w:numId w:val="1"/>
        </w:numPr>
        <w:spacing w:after="0" w:line="240" w:lineRule="auto"/>
        <w:rPr>
          <w:rFonts w:ascii="Arial" w:hAnsi="Arial" w:cs="Arial"/>
        </w:rPr>
      </w:pPr>
      <w:r>
        <w:rPr>
          <w:rFonts w:ascii="Arial" w:hAnsi="Arial" w:cs="Arial"/>
        </w:rPr>
        <w:t xml:space="preserve">No Change. </w:t>
      </w:r>
      <w:r w:rsidRPr="005967BA">
        <w:rPr>
          <w:rFonts w:ascii="Arial" w:hAnsi="Arial" w:cs="Arial"/>
        </w:rPr>
        <w:t xml:space="preserve">  </w:t>
      </w:r>
    </w:p>
    <w:p w14:paraId="1EACE52A" w14:textId="77777777" w:rsidR="007456A0" w:rsidRDefault="007456A0" w:rsidP="007456A0">
      <w:pPr>
        <w:spacing w:after="0" w:line="240" w:lineRule="auto"/>
        <w:rPr>
          <w:rFonts w:ascii="Arial" w:hAnsi="Arial" w:cs="Arial"/>
        </w:rPr>
      </w:pPr>
    </w:p>
    <w:p w14:paraId="69E04409" w14:textId="77777777" w:rsidR="007479B0" w:rsidRDefault="00A066C5" w:rsidP="007456A0">
      <w:pPr>
        <w:spacing w:after="0" w:line="240" w:lineRule="auto"/>
        <w:rPr>
          <w:rFonts w:ascii="Arial" w:hAnsi="Arial" w:cs="Arial"/>
        </w:rPr>
      </w:pPr>
      <w:r>
        <w:rPr>
          <w:rFonts w:ascii="Arial" w:hAnsi="Arial" w:cs="Arial"/>
        </w:rPr>
        <w:t>We understand that o</w:t>
      </w:r>
      <w:r w:rsidR="007456A0">
        <w:rPr>
          <w:rFonts w:ascii="Arial" w:hAnsi="Arial" w:cs="Arial"/>
        </w:rPr>
        <w:t>ptions 1 and 2 would need early engagement with the CCG to allow for the minor contract variations to enable some practices within a group to be physically closed during these periods. This engagement would include evidence of how practices would deliver services and engage with their patients to ensure they are informed about the changes to the service.</w:t>
      </w:r>
      <w:r>
        <w:rPr>
          <w:rFonts w:ascii="Arial" w:hAnsi="Arial" w:cs="Arial"/>
        </w:rPr>
        <w:t xml:space="preserve"> With early engagement and a willingness of the part of the CCG, there are no contractual reasons why this should not be supported. In parts of Leicestershire this was successfully negotiated and implemented during the 2018 festive period</w:t>
      </w:r>
      <w:r w:rsidR="0040737D">
        <w:rPr>
          <w:rFonts w:ascii="Arial" w:hAnsi="Arial" w:cs="Arial"/>
        </w:rPr>
        <w:t xml:space="preserve"> with DHU providing the service for a number of practices</w:t>
      </w:r>
      <w:r>
        <w:rPr>
          <w:rFonts w:ascii="Arial" w:hAnsi="Arial" w:cs="Arial"/>
        </w:rPr>
        <w:t>.</w:t>
      </w:r>
    </w:p>
    <w:p w14:paraId="5B9F0DEC" w14:textId="77777777" w:rsidR="007479B0" w:rsidRDefault="007479B0" w:rsidP="007456A0">
      <w:pPr>
        <w:spacing w:after="0" w:line="240" w:lineRule="auto"/>
        <w:rPr>
          <w:rFonts w:ascii="Arial" w:hAnsi="Arial" w:cs="Arial"/>
        </w:rPr>
      </w:pPr>
    </w:p>
    <w:p w14:paraId="7FE5EBD9" w14:textId="77777777" w:rsidR="007456A0" w:rsidRDefault="007479B0" w:rsidP="007456A0">
      <w:pPr>
        <w:spacing w:after="0" w:line="240" w:lineRule="auto"/>
        <w:rPr>
          <w:rFonts w:ascii="Arial" w:hAnsi="Arial" w:cs="Arial"/>
        </w:rPr>
      </w:pPr>
      <w:r>
        <w:rPr>
          <w:rFonts w:ascii="Arial" w:hAnsi="Arial" w:cs="Arial"/>
        </w:rPr>
        <w:t xml:space="preserve">Option </w:t>
      </w:r>
      <w:r w:rsidR="00A066C5">
        <w:rPr>
          <w:rFonts w:ascii="Arial" w:hAnsi="Arial" w:cs="Arial"/>
        </w:rPr>
        <w:t>1 would seem to be the preferred option since this would demonstrate compliance with the contractual requirements for practices to work collaboratively as part of a PCN. It would also be tailored to meet the needs of the local population, taking into account geography</w:t>
      </w:r>
      <w:r w:rsidR="0040737D">
        <w:rPr>
          <w:rFonts w:ascii="Arial" w:hAnsi="Arial" w:cs="Arial"/>
        </w:rPr>
        <w:t xml:space="preserve"> and patient demand</w:t>
      </w:r>
      <w:r w:rsidR="00A066C5">
        <w:rPr>
          <w:rFonts w:ascii="Arial" w:hAnsi="Arial" w:cs="Arial"/>
        </w:rPr>
        <w:t xml:space="preserve"> and could mirror the delivery of extended hours across the CCG footprint. While option 2 could also clearly be contractually compliant, as evidenced by the existing QUEST arrangements, this would be less tailored to specific local differences and in our view is therefore slightly less favourable than option 1. </w:t>
      </w:r>
      <w:r w:rsidR="0040737D">
        <w:rPr>
          <w:rFonts w:ascii="Arial" w:hAnsi="Arial" w:cs="Arial"/>
        </w:rPr>
        <w:t xml:space="preserve">Some practices may consider option 3 is most suitable for their patients. </w:t>
      </w:r>
      <w:r w:rsidR="00A066C5">
        <w:rPr>
          <w:rFonts w:ascii="Arial" w:hAnsi="Arial" w:cs="Arial"/>
        </w:rPr>
        <w:t xml:space="preserve">What is clear is that practices should be allowed to consider their own patients’ needs </w:t>
      </w:r>
      <w:r w:rsidR="0040737D">
        <w:rPr>
          <w:rFonts w:ascii="Arial" w:hAnsi="Arial" w:cs="Arial"/>
        </w:rPr>
        <w:t>in</w:t>
      </w:r>
      <w:r w:rsidR="00A066C5">
        <w:rPr>
          <w:rFonts w:ascii="Arial" w:hAnsi="Arial" w:cs="Arial"/>
        </w:rPr>
        <w:t xml:space="preserve"> deliver</w:t>
      </w:r>
      <w:r w:rsidR="0040737D">
        <w:rPr>
          <w:rFonts w:ascii="Arial" w:hAnsi="Arial" w:cs="Arial"/>
        </w:rPr>
        <w:t>ing a</w:t>
      </w:r>
      <w:r w:rsidR="00A066C5">
        <w:rPr>
          <w:rFonts w:ascii="Arial" w:hAnsi="Arial" w:cs="Arial"/>
        </w:rPr>
        <w:t xml:space="preserve"> service </w:t>
      </w:r>
      <w:r w:rsidR="0040737D">
        <w:rPr>
          <w:rFonts w:ascii="Arial" w:hAnsi="Arial" w:cs="Arial"/>
        </w:rPr>
        <w:t xml:space="preserve">and all three options should be open to them. </w:t>
      </w:r>
      <w:r w:rsidR="00A066C5">
        <w:rPr>
          <w:rFonts w:ascii="Arial" w:hAnsi="Arial" w:cs="Arial"/>
        </w:rPr>
        <w:t xml:space="preserve"> </w:t>
      </w:r>
    </w:p>
    <w:p w14:paraId="3295F139" w14:textId="77777777" w:rsidR="007456A0" w:rsidRDefault="007456A0" w:rsidP="00356721">
      <w:pPr>
        <w:spacing w:after="0" w:line="240" w:lineRule="auto"/>
        <w:rPr>
          <w:rFonts w:ascii="Arial" w:hAnsi="Arial" w:cs="Arial"/>
        </w:rPr>
      </w:pPr>
    </w:p>
    <w:p w14:paraId="3D53E841" w14:textId="77777777" w:rsidR="0040737D" w:rsidRDefault="0060222C" w:rsidP="00356721">
      <w:pPr>
        <w:spacing w:after="0" w:line="240" w:lineRule="auto"/>
        <w:rPr>
          <w:rFonts w:ascii="Arial" w:hAnsi="Arial" w:cs="Arial"/>
        </w:rPr>
      </w:pPr>
      <w:r>
        <w:rPr>
          <w:rFonts w:ascii="Arial" w:hAnsi="Arial" w:cs="Arial"/>
        </w:rPr>
        <w:t>We would ask the CCG to give an early indication that they would be supportive of this collaborative working to enable practices to have sufficient time to submit more detailed plans.</w:t>
      </w:r>
    </w:p>
    <w:sectPr w:rsidR="004073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8A55" w14:textId="77777777" w:rsidR="00B97A75" w:rsidRDefault="00B97A75" w:rsidP="0060222C">
      <w:pPr>
        <w:spacing w:after="0" w:line="240" w:lineRule="auto"/>
      </w:pPr>
      <w:r>
        <w:separator/>
      </w:r>
    </w:p>
  </w:endnote>
  <w:endnote w:type="continuationSeparator" w:id="0">
    <w:p w14:paraId="39AADE54" w14:textId="77777777" w:rsidR="00B97A75" w:rsidRDefault="00B97A75" w:rsidP="0060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E2F4" w14:textId="77777777" w:rsidR="00B97A75" w:rsidRDefault="00B97A75" w:rsidP="0060222C">
      <w:pPr>
        <w:spacing w:after="0" w:line="240" w:lineRule="auto"/>
      </w:pPr>
      <w:r>
        <w:separator/>
      </w:r>
    </w:p>
  </w:footnote>
  <w:footnote w:type="continuationSeparator" w:id="0">
    <w:p w14:paraId="2C5E9CF7" w14:textId="77777777" w:rsidR="00B97A75" w:rsidRDefault="00B97A75" w:rsidP="0060222C">
      <w:pPr>
        <w:spacing w:after="0" w:line="240" w:lineRule="auto"/>
      </w:pPr>
      <w:r>
        <w:continuationSeparator/>
      </w:r>
    </w:p>
  </w:footnote>
  <w:footnote w:id="1">
    <w:p w14:paraId="5701E991" w14:textId="77777777" w:rsidR="0060222C" w:rsidRDefault="0060222C">
      <w:pPr>
        <w:pStyle w:val="FootnoteText"/>
      </w:pPr>
      <w:r>
        <w:rPr>
          <w:rStyle w:val="FootnoteReference"/>
        </w:rPr>
        <w:footnoteRef/>
      </w:r>
      <w:r>
        <w:t xml:space="preserve"> </w:t>
      </w:r>
      <w:r>
        <w:rPr>
          <w:rFonts w:ascii="Arial" w:hAnsi="Arial" w:cs="Arial"/>
        </w:rPr>
        <w:t xml:space="preserve">We have referred to a single CCG throughout, assuming that the planned merger of the 4 Derbyshire CCGs will go ahead in April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E38"/>
    <w:multiLevelType w:val="hybridMultilevel"/>
    <w:tmpl w:val="3CFE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721"/>
    <w:rsid w:val="00100B8F"/>
    <w:rsid w:val="0013089A"/>
    <w:rsid w:val="00165F4C"/>
    <w:rsid w:val="001A047D"/>
    <w:rsid w:val="002B3911"/>
    <w:rsid w:val="00332E35"/>
    <w:rsid w:val="00356721"/>
    <w:rsid w:val="003F5C9A"/>
    <w:rsid w:val="0040737D"/>
    <w:rsid w:val="00482C86"/>
    <w:rsid w:val="00513001"/>
    <w:rsid w:val="005967BA"/>
    <w:rsid w:val="005F2C81"/>
    <w:rsid w:val="0060222C"/>
    <w:rsid w:val="0061771B"/>
    <w:rsid w:val="00681020"/>
    <w:rsid w:val="00693B8C"/>
    <w:rsid w:val="007456A0"/>
    <w:rsid w:val="007479B0"/>
    <w:rsid w:val="00817B2B"/>
    <w:rsid w:val="00A066C5"/>
    <w:rsid w:val="00A96000"/>
    <w:rsid w:val="00B97A75"/>
    <w:rsid w:val="00E0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1077-5746-4A65-A663-8DBD863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7BA"/>
    <w:pPr>
      <w:ind w:left="720"/>
      <w:contextualSpacing/>
    </w:pPr>
  </w:style>
  <w:style w:type="paragraph" w:styleId="FootnoteText">
    <w:name w:val="footnote text"/>
    <w:basedOn w:val="Normal"/>
    <w:link w:val="FootnoteTextChar"/>
    <w:uiPriority w:val="99"/>
    <w:semiHidden/>
    <w:unhideWhenUsed/>
    <w:rsid w:val="00602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22C"/>
    <w:rPr>
      <w:sz w:val="20"/>
      <w:szCs w:val="20"/>
    </w:rPr>
  </w:style>
  <w:style w:type="character" w:styleId="FootnoteReference">
    <w:name w:val="footnote reference"/>
    <w:basedOn w:val="DefaultParagraphFont"/>
    <w:uiPriority w:val="99"/>
    <w:semiHidden/>
    <w:unhideWhenUsed/>
    <w:rsid w:val="0060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0AD2-61DB-4D70-9F31-31E35543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David - Derbyshire LMC</dc:creator>
  <cp:lastModifiedBy>Gibbs David - Derbyshire LMC</cp:lastModifiedBy>
  <cp:revision>4</cp:revision>
  <dcterms:created xsi:type="dcterms:W3CDTF">2019-01-25T11:28:00Z</dcterms:created>
  <dcterms:modified xsi:type="dcterms:W3CDTF">2019-01-29T11:47:00Z</dcterms:modified>
</cp:coreProperties>
</file>