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D8DB" w14:textId="77777777" w:rsidR="00A53DE2" w:rsidRPr="00FA7B89" w:rsidRDefault="00A53DE2" w:rsidP="00A53DE2">
      <w:pPr>
        <w:pStyle w:val="Heading1"/>
        <w:numPr>
          <w:ilvl w:val="0"/>
          <w:numId w:val="0"/>
        </w:numPr>
        <w:ind w:left="432"/>
      </w:pPr>
      <w:bookmarkStart w:id="0" w:name="_Toc95743433"/>
      <w:r w:rsidRPr="00686F5F">
        <w:rPr>
          <w:highlight w:val="yellow"/>
        </w:rPr>
        <w:t xml:space="preserve">Managing [non-violent] </w:t>
      </w:r>
      <w:bookmarkStart w:id="1" w:name="_Hlk87027495"/>
      <w:r w:rsidRPr="00686F5F">
        <w:rPr>
          <w:highlight w:val="yellow"/>
        </w:rPr>
        <w:t>inappropriate and unacceptable patient behaviours</w:t>
      </w:r>
      <w:bookmarkEnd w:id="1"/>
      <w:r w:rsidRPr="00686F5F">
        <w:rPr>
          <w:highlight w:val="yellow"/>
        </w:rPr>
        <w:t xml:space="preserve">, including </w:t>
      </w:r>
      <w:bookmarkStart w:id="2" w:name="_Hlk86955056"/>
      <w:r w:rsidRPr="00686F5F">
        <w:rPr>
          <w:highlight w:val="yellow"/>
        </w:rPr>
        <w:t xml:space="preserve">protecting against </w:t>
      </w:r>
      <w:bookmarkStart w:id="3" w:name="_Hlk87019326"/>
      <w:r w:rsidRPr="00686F5F">
        <w:rPr>
          <w:highlight w:val="yellow"/>
        </w:rPr>
        <w:t xml:space="preserve">discrimination, </w:t>
      </w:r>
      <w:proofErr w:type="gramStart"/>
      <w:r w:rsidRPr="00686F5F">
        <w:rPr>
          <w:highlight w:val="yellow"/>
        </w:rPr>
        <w:t>harassment</w:t>
      </w:r>
      <w:proofErr w:type="gramEnd"/>
      <w:r w:rsidRPr="00686F5F">
        <w:rPr>
          <w:highlight w:val="yellow"/>
        </w:rPr>
        <w:t xml:space="preserve"> or victimisation.</w:t>
      </w:r>
      <w:bookmarkEnd w:id="0"/>
    </w:p>
    <w:bookmarkEnd w:id="2"/>
    <w:bookmarkEnd w:id="3"/>
    <w:p w14:paraId="4FDEF803" w14:textId="77777777" w:rsidR="00A53DE2" w:rsidRPr="00686F5F" w:rsidRDefault="00A53DE2" w:rsidP="00A53DE2">
      <w:pPr>
        <w:spacing w:line="360" w:lineRule="auto"/>
        <w:ind w:left="432" w:hanging="720"/>
        <w:outlineLvl w:val="0"/>
        <w:rPr>
          <w:rFonts w:cs="Arial"/>
          <w:b/>
          <w:color w:val="44546A" w:themeColor="text2"/>
          <w:kern w:val="32"/>
          <w:sz w:val="32"/>
          <w:szCs w:val="32"/>
        </w:rPr>
      </w:pPr>
    </w:p>
    <w:p w14:paraId="37DD7C9B" w14:textId="77777777" w:rsidR="00A53DE2" w:rsidRPr="00686F5F" w:rsidRDefault="00A53DE2" w:rsidP="00A53DE2">
      <w:pPr>
        <w:spacing w:line="360" w:lineRule="auto"/>
        <w:ind w:left="851" w:hanging="851"/>
        <w:outlineLvl w:val="2"/>
        <w:rPr>
          <w:lang w:eastAsia="en-GB"/>
        </w:rPr>
      </w:pPr>
      <w:r>
        <w:rPr>
          <w:lang w:eastAsia="en-GB"/>
        </w:rPr>
        <w:t xml:space="preserve">6.1 </w:t>
      </w:r>
      <w:r>
        <w:rPr>
          <w:lang w:eastAsia="en-GB"/>
        </w:rPr>
        <w:tab/>
      </w:r>
      <w:r w:rsidRPr="00686F5F">
        <w:rPr>
          <w:lang w:eastAsia="en-GB"/>
        </w:rPr>
        <w:t xml:space="preserve">This chapter supplements and should be read alongside guidance provided under Chapter 3 (Managing Patient Lists) and Chapter </w:t>
      </w:r>
      <w:r>
        <w:rPr>
          <w:lang w:eastAsia="en-GB"/>
        </w:rPr>
        <w:t>7</w:t>
      </w:r>
      <w:r w:rsidRPr="00686F5F">
        <w:rPr>
          <w:lang w:eastAsia="en-GB"/>
        </w:rPr>
        <w:t xml:space="preserve"> (Managing Violent Patients - Special Allocation Scheme (SAS) to support the management of inappropriate and unacceptable patient behaviours, including to protect practice teams and other patients from discrimination, </w:t>
      </w:r>
      <w:proofErr w:type="gramStart"/>
      <w:r w:rsidRPr="00686F5F">
        <w:rPr>
          <w:lang w:eastAsia="en-GB"/>
        </w:rPr>
        <w:t>harassment</w:t>
      </w:r>
      <w:proofErr w:type="gramEnd"/>
      <w:r w:rsidRPr="00686F5F">
        <w:rPr>
          <w:lang w:eastAsia="en-GB"/>
        </w:rPr>
        <w:t xml:space="preserve"> or victimisation. </w:t>
      </w:r>
    </w:p>
    <w:p w14:paraId="47022744" w14:textId="77777777" w:rsidR="00A53DE2" w:rsidRPr="00686F5F" w:rsidRDefault="00A53DE2" w:rsidP="00A53DE2">
      <w:pPr>
        <w:spacing w:line="360" w:lineRule="auto"/>
        <w:ind w:left="720"/>
        <w:outlineLvl w:val="2"/>
        <w:rPr>
          <w:lang w:eastAsia="en-GB"/>
        </w:rPr>
      </w:pPr>
    </w:p>
    <w:p w14:paraId="38A93731" w14:textId="77777777" w:rsidR="00A53DE2" w:rsidRDefault="00A53DE2" w:rsidP="00A53DE2">
      <w:pPr>
        <w:spacing w:line="360" w:lineRule="auto"/>
        <w:ind w:left="720" w:hanging="720"/>
        <w:outlineLvl w:val="2"/>
        <w:rPr>
          <w:bCs w:val="0"/>
          <w:szCs w:val="20"/>
          <w:lang w:eastAsia="en-GB"/>
        </w:rPr>
      </w:pPr>
      <w:r>
        <w:rPr>
          <w:bCs w:val="0"/>
          <w:szCs w:val="20"/>
          <w:lang w:eastAsia="en-GB"/>
        </w:rPr>
        <w:t xml:space="preserve">6.2 </w:t>
      </w:r>
      <w:r>
        <w:rPr>
          <w:bCs w:val="0"/>
          <w:szCs w:val="20"/>
          <w:lang w:eastAsia="en-GB"/>
        </w:rPr>
        <w:tab/>
      </w:r>
      <w:r w:rsidRPr="00686F5F">
        <w:rPr>
          <w:bCs w:val="0"/>
          <w:szCs w:val="20"/>
          <w:lang w:eastAsia="en-GB"/>
        </w:rPr>
        <w:t xml:space="preserve">Given the importance of the interests this guidance seeks to balance, ensuring that inappropriate and unacceptable patient behaviours are appropriately managed, while ensuring all patients </w:t>
      </w:r>
      <w:proofErr w:type="gramStart"/>
      <w:r w:rsidRPr="00686F5F">
        <w:rPr>
          <w:bCs w:val="0"/>
          <w:szCs w:val="20"/>
          <w:lang w:eastAsia="en-GB"/>
        </w:rPr>
        <w:t>are able to</w:t>
      </w:r>
      <w:proofErr w:type="gramEnd"/>
      <w:r w:rsidRPr="00686F5F">
        <w:rPr>
          <w:bCs w:val="0"/>
          <w:szCs w:val="20"/>
          <w:lang w:eastAsia="en-GB"/>
        </w:rPr>
        <w:t xml:space="preserve"> access primary medical services they need and are entitled to, this guidance covers the following key areas:</w:t>
      </w:r>
    </w:p>
    <w:p w14:paraId="4EB72452" w14:textId="77777777" w:rsidR="00A53DE2" w:rsidRDefault="00A53DE2" w:rsidP="00A53DE2">
      <w:pPr>
        <w:spacing w:line="360" w:lineRule="auto"/>
        <w:outlineLvl w:val="2"/>
        <w:rPr>
          <w:lang w:eastAsia="en-GB"/>
        </w:rPr>
      </w:pPr>
    </w:p>
    <w:p w14:paraId="62F94F9A" w14:textId="77777777" w:rsidR="00A53DE2" w:rsidRPr="0025375E" w:rsidRDefault="00A53DE2" w:rsidP="00A53DE2">
      <w:pPr>
        <w:numPr>
          <w:ilvl w:val="1"/>
          <w:numId w:val="7"/>
        </w:numPr>
        <w:spacing w:before="200" w:after="60" w:line="276" w:lineRule="auto"/>
        <w:jc w:val="both"/>
        <w:rPr>
          <w:bCs w:val="0"/>
          <w:color w:val="0000FF"/>
          <w:szCs w:val="24"/>
          <w:u w:val="single"/>
          <w:lang w:eastAsia="en-GB"/>
        </w:rPr>
      </w:pPr>
      <w:r w:rsidRPr="0025375E">
        <w:rPr>
          <w:bCs w:val="0"/>
          <w:color w:val="0000FF"/>
          <w:szCs w:val="24"/>
          <w:u w:val="single"/>
          <w:lang w:eastAsia="en-GB"/>
        </w:rPr>
        <w:fldChar w:fldCharType="begin"/>
      </w:r>
      <w:r w:rsidRPr="0025375E">
        <w:rPr>
          <w:bCs w:val="0"/>
          <w:color w:val="0000FF"/>
          <w:szCs w:val="24"/>
          <w:u w:val="single"/>
          <w:lang w:eastAsia="en-GB"/>
        </w:rPr>
        <w:instrText xml:space="preserve"> REF _Ref87024204 \h  \* MERGEFORMAT </w:instrText>
      </w:r>
      <w:r w:rsidRPr="0025375E">
        <w:rPr>
          <w:bCs w:val="0"/>
          <w:color w:val="0000FF"/>
          <w:szCs w:val="24"/>
          <w:u w:val="single"/>
          <w:lang w:eastAsia="en-GB"/>
        </w:rPr>
      </w:r>
      <w:r w:rsidRPr="0025375E">
        <w:rPr>
          <w:bCs w:val="0"/>
          <w:color w:val="0000FF"/>
          <w:szCs w:val="24"/>
          <w:u w:val="single"/>
          <w:lang w:eastAsia="en-GB"/>
        </w:rPr>
        <w:fldChar w:fldCharType="separate"/>
      </w:r>
      <w:r w:rsidRPr="0025375E">
        <w:rPr>
          <w:bCs w:val="0"/>
          <w:color w:val="0000FF"/>
          <w:szCs w:val="24"/>
          <w:u w:val="single"/>
          <w:lang w:eastAsia="en-GB"/>
        </w:rPr>
        <w:t>The scope of inappropriate and unacceptable patient behaviours.</w:t>
      </w:r>
      <w:r w:rsidRPr="0025375E">
        <w:rPr>
          <w:bCs w:val="0"/>
          <w:color w:val="0000FF"/>
          <w:szCs w:val="24"/>
          <w:u w:val="single"/>
          <w:lang w:eastAsia="en-GB"/>
        </w:rPr>
        <w:fldChar w:fldCharType="end"/>
      </w:r>
      <w:r w:rsidRPr="0025375E">
        <w:rPr>
          <w:bCs w:val="0"/>
          <w:color w:val="0000FF"/>
          <w:szCs w:val="24"/>
          <w:u w:val="single"/>
          <w:lang w:eastAsia="en-GB"/>
        </w:rPr>
        <w:t xml:space="preserve"> </w:t>
      </w:r>
    </w:p>
    <w:p w14:paraId="116FC3C7" w14:textId="77777777" w:rsidR="00A53DE2" w:rsidRPr="0025375E" w:rsidRDefault="00A53DE2" w:rsidP="00A53DE2">
      <w:pPr>
        <w:numPr>
          <w:ilvl w:val="1"/>
          <w:numId w:val="7"/>
        </w:numPr>
        <w:spacing w:before="200" w:after="60" w:line="276" w:lineRule="auto"/>
        <w:jc w:val="both"/>
        <w:rPr>
          <w:bCs w:val="0"/>
          <w:color w:val="0000FF"/>
          <w:szCs w:val="24"/>
          <w:u w:val="single"/>
          <w:lang w:eastAsia="en-GB"/>
        </w:rPr>
      </w:pPr>
      <w:r w:rsidRPr="0025375E">
        <w:rPr>
          <w:bCs w:val="0"/>
          <w:color w:val="0000FF"/>
          <w:szCs w:val="24"/>
          <w:u w:val="single"/>
          <w:lang w:eastAsia="en-GB"/>
        </w:rPr>
        <w:fldChar w:fldCharType="begin"/>
      </w:r>
      <w:r w:rsidRPr="0025375E">
        <w:rPr>
          <w:bCs w:val="0"/>
          <w:color w:val="0000FF"/>
          <w:szCs w:val="24"/>
          <w:u w:val="single"/>
          <w:lang w:eastAsia="en-GB"/>
        </w:rPr>
        <w:instrText xml:space="preserve"> REF _Ref87259140 \h  \* MERGEFORMAT </w:instrText>
      </w:r>
      <w:r w:rsidRPr="0025375E">
        <w:rPr>
          <w:bCs w:val="0"/>
          <w:color w:val="0000FF"/>
          <w:szCs w:val="24"/>
          <w:u w:val="single"/>
          <w:lang w:eastAsia="en-GB"/>
        </w:rPr>
      </w:r>
      <w:r w:rsidRPr="0025375E">
        <w:rPr>
          <w:bCs w:val="0"/>
          <w:color w:val="0000FF"/>
          <w:szCs w:val="24"/>
          <w:u w:val="single"/>
          <w:lang w:eastAsia="en-GB"/>
        </w:rPr>
        <w:fldChar w:fldCharType="separate"/>
      </w:r>
      <w:r w:rsidRPr="0025375E">
        <w:rPr>
          <w:bCs w:val="0"/>
          <w:color w:val="0000FF"/>
          <w:szCs w:val="24"/>
          <w:u w:val="single"/>
          <w:lang w:eastAsia="en-GB"/>
        </w:rPr>
        <w:t>Managing inappropriate and unacceptable patient behaviours within the contract regulations</w:t>
      </w:r>
      <w:r w:rsidRPr="0025375E">
        <w:rPr>
          <w:bCs w:val="0"/>
          <w:color w:val="0000FF"/>
          <w:szCs w:val="24"/>
          <w:u w:val="single"/>
          <w:lang w:eastAsia="en-GB"/>
        </w:rPr>
        <w:fldChar w:fldCharType="end"/>
      </w:r>
    </w:p>
    <w:p w14:paraId="07B6744D" w14:textId="77777777" w:rsidR="00A53DE2" w:rsidRPr="0025375E" w:rsidRDefault="00A53DE2" w:rsidP="00A53DE2">
      <w:pPr>
        <w:numPr>
          <w:ilvl w:val="1"/>
          <w:numId w:val="7"/>
        </w:numPr>
        <w:spacing w:before="200" w:after="60" w:line="276" w:lineRule="auto"/>
        <w:jc w:val="both"/>
        <w:rPr>
          <w:bCs w:val="0"/>
          <w:color w:val="0000FF"/>
          <w:szCs w:val="24"/>
          <w:u w:val="single"/>
          <w:lang w:eastAsia="en-GB"/>
        </w:rPr>
      </w:pPr>
      <w:r w:rsidRPr="0025375E">
        <w:rPr>
          <w:bCs w:val="0"/>
          <w:color w:val="0000FF"/>
          <w:szCs w:val="24"/>
          <w:u w:val="single"/>
          <w:lang w:eastAsia="en-GB"/>
        </w:rPr>
        <w:fldChar w:fldCharType="begin"/>
      </w:r>
      <w:r w:rsidRPr="0025375E">
        <w:rPr>
          <w:bCs w:val="0"/>
          <w:color w:val="0000FF"/>
          <w:szCs w:val="24"/>
          <w:u w:val="single"/>
          <w:lang w:eastAsia="en-GB"/>
        </w:rPr>
        <w:instrText xml:space="preserve"> REF _Ref87260141 \h  \* MERGEFORMAT </w:instrText>
      </w:r>
      <w:r w:rsidRPr="0025375E">
        <w:rPr>
          <w:bCs w:val="0"/>
          <w:color w:val="0000FF"/>
          <w:szCs w:val="24"/>
          <w:u w:val="single"/>
          <w:lang w:eastAsia="en-GB"/>
        </w:rPr>
      </w:r>
      <w:r w:rsidRPr="0025375E">
        <w:rPr>
          <w:bCs w:val="0"/>
          <w:color w:val="0000FF"/>
          <w:szCs w:val="24"/>
          <w:u w:val="single"/>
          <w:lang w:eastAsia="en-GB"/>
        </w:rPr>
        <w:fldChar w:fldCharType="separate"/>
      </w:r>
      <w:r w:rsidRPr="0025375E">
        <w:rPr>
          <w:bCs w:val="0"/>
          <w:color w:val="0000FF"/>
          <w:szCs w:val="24"/>
          <w:u w:val="single"/>
          <w:lang w:eastAsia="en-GB"/>
        </w:rPr>
        <w:t>The process for managing inappropriate and unacceptable behaviours</w:t>
      </w:r>
      <w:r w:rsidRPr="0025375E">
        <w:rPr>
          <w:bCs w:val="0"/>
          <w:color w:val="0000FF"/>
          <w:szCs w:val="24"/>
          <w:u w:val="single"/>
          <w:lang w:eastAsia="en-GB"/>
        </w:rPr>
        <w:fldChar w:fldCharType="end"/>
      </w:r>
    </w:p>
    <w:p w14:paraId="7D985AA0" w14:textId="77777777" w:rsidR="00A53DE2" w:rsidRPr="0025375E" w:rsidRDefault="00A53DE2" w:rsidP="00A53DE2">
      <w:pPr>
        <w:numPr>
          <w:ilvl w:val="1"/>
          <w:numId w:val="7"/>
        </w:numPr>
        <w:spacing w:before="200" w:after="60" w:line="276" w:lineRule="auto"/>
        <w:jc w:val="both"/>
        <w:rPr>
          <w:bCs w:val="0"/>
          <w:color w:val="0000FF"/>
          <w:szCs w:val="24"/>
          <w:u w:val="single"/>
          <w:lang w:eastAsia="en-GB"/>
        </w:rPr>
      </w:pPr>
      <w:r w:rsidRPr="0025375E">
        <w:rPr>
          <w:bCs w:val="0"/>
          <w:color w:val="0000FF"/>
          <w:szCs w:val="24"/>
          <w:u w:val="single"/>
          <w:lang w:eastAsia="en-GB"/>
        </w:rPr>
        <w:fldChar w:fldCharType="begin"/>
      </w:r>
      <w:r w:rsidRPr="0025375E">
        <w:rPr>
          <w:bCs w:val="0"/>
          <w:color w:val="0000FF"/>
          <w:szCs w:val="24"/>
          <w:u w:val="single"/>
          <w:lang w:eastAsia="en-GB"/>
        </w:rPr>
        <w:instrText xml:space="preserve"> REF _Ref87260148 \h  \* MERGEFORMAT </w:instrText>
      </w:r>
      <w:r w:rsidRPr="0025375E">
        <w:rPr>
          <w:bCs w:val="0"/>
          <w:color w:val="0000FF"/>
          <w:szCs w:val="24"/>
          <w:u w:val="single"/>
          <w:lang w:eastAsia="en-GB"/>
        </w:rPr>
      </w:r>
      <w:r w:rsidRPr="0025375E">
        <w:rPr>
          <w:bCs w:val="0"/>
          <w:color w:val="0000FF"/>
          <w:szCs w:val="24"/>
          <w:u w:val="single"/>
          <w:lang w:eastAsia="en-GB"/>
        </w:rPr>
        <w:fldChar w:fldCharType="separate"/>
      </w:r>
      <w:r w:rsidRPr="0025375E">
        <w:rPr>
          <w:bCs w:val="0"/>
          <w:color w:val="0000FF"/>
          <w:szCs w:val="24"/>
          <w:u w:val="single"/>
          <w:lang w:eastAsia="en-GB"/>
        </w:rPr>
        <w:t xml:space="preserve">Considerations for ensuring ongoing access for patients removed from a practice patient list due </w:t>
      </w:r>
      <w:r>
        <w:rPr>
          <w:bCs w:val="0"/>
          <w:color w:val="0000FF"/>
          <w:szCs w:val="24"/>
          <w:u w:val="single"/>
          <w:lang w:eastAsia="en-GB"/>
        </w:rPr>
        <w:t>to</w:t>
      </w:r>
      <w:r w:rsidRPr="0025375E">
        <w:rPr>
          <w:bCs w:val="0"/>
          <w:color w:val="0000FF"/>
          <w:szCs w:val="24"/>
          <w:u w:val="single"/>
          <w:lang w:eastAsia="en-GB"/>
        </w:rPr>
        <w:t xml:space="preserve"> inappropriate and unacceptable patient behaviours.</w:t>
      </w:r>
      <w:r w:rsidRPr="0025375E">
        <w:rPr>
          <w:bCs w:val="0"/>
          <w:color w:val="0000FF"/>
          <w:szCs w:val="24"/>
          <w:u w:val="single"/>
          <w:lang w:eastAsia="en-GB"/>
        </w:rPr>
        <w:fldChar w:fldCharType="end"/>
      </w:r>
    </w:p>
    <w:p w14:paraId="58D9B637" w14:textId="77777777" w:rsidR="00A53DE2" w:rsidRPr="00686F5F" w:rsidRDefault="00A53DE2" w:rsidP="00A53DE2">
      <w:pPr>
        <w:rPr>
          <w:lang w:eastAsia="en-GB"/>
        </w:rPr>
      </w:pPr>
    </w:p>
    <w:p w14:paraId="33305331" w14:textId="77777777" w:rsidR="00A53DE2" w:rsidRPr="00686F5F" w:rsidRDefault="00A53DE2" w:rsidP="00A53DE2">
      <w:pPr>
        <w:ind w:left="432"/>
        <w:outlineLvl w:val="0"/>
        <w:rPr>
          <w:bCs w:val="0"/>
          <w:szCs w:val="20"/>
          <w:lang w:eastAsia="en-GB"/>
        </w:rPr>
      </w:pPr>
    </w:p>
    <w:p w14:paraId="5FF45843" w14:textId="77777777" w:rsidR="00A53DE2" w:rsidRPr="00211CA1" w:rsidRDefault="00A53DE2" w:rsidP="00A53DE2">
      <w:pPr>
        <w:pStyle w:val="ListParagraph"/>
        <w:numPr>
          <w:ilvl w:val="1"/>
          <w:numId w:val="5"/>
        </w:numPr>
        <w:spacing w:line="360" w:lineRule="auto"/>
        <w:outlineLvl w:val="1"/>
        <w:rPr>
          <w:b/>
          <w:iCs/>
          <w:color w:val="E7E6E6" w:themeColor="background2"/>
          <w:sz w:val="28"/>
          <w:szCs w:val="28"/>
          <w:lang w:eastAsia="en-GB"/>
        </w:rPr>
      </w:pPr>
      <w:bookmarkStart w:id="4" w:name="_Ref87024204"/>
      <w:bookmarkStart w:id="5" w:name="_Toc95743434"/>
      <w:r w:rsidRPr="00211CA1">
        <w:rPr>
          <w:b/>
          <w:iCs/>
          <w:color w:val="E7E6E6" w:themeColor="background2"/>
          <w:sz w:val="28"/>
          <w:szCs w:val="28"/>
          <w:lang w:eastAsia="en-GB"/>
        </w:rPr>
        <w:t>The scope of inappropriate and unacceptable patient behaviours.</w:t>
      </w:r>
      <w:bookmarkEnd w:id="4"/>
      <w:bookmarkEnd w:id="5"/>
    </w:p>
    <w:p w14:paraId="3BEAFDE6" w14:textId="77777777" w:rsidR="00A53DE2" w:rsidRDefault="00A53DE2" w:rsidP="00A53DE2">
      <w:pPr>
        <w:spacing w:line="360" w:lineRule="auto"/>
        <w:outlineLvl w:val="2"/>
        <w:rPr>
          <w:b/>
          <w:bCs w:val="0"/>
          <w:lang w:eastAsia="en-GB"/>
        </w:rPr>
      </w:pPr>
    </w:p>
    <w:p w14:paraId="411B2830" w14:textId="77777777" w:rsidR="00A53DE2" w:rsidRPr="00C12A20" w:rsidRDefault="00A53DE2" w:rsidP="00A53DE2">
      <w:pPr>
        <w:pStyle w:val="ListParagraph"/>
        <w:numPr>
          <w:ilvl w:val="2"/>
          <w:numId w:val="5"/>
        </w:numPr>
        <w:spacing w:line="360" w:lineRule="auto"/>
        <w:ind w:left="851" w:hanging="851"/>
        <w:outlineLvl w:val="2"/>
        <w:rPr>
          <w:b/>
          <w:bCs w:val="0"/>
          <w:lang w:eastAsia="en-GB"/>
        </w:rPr>
      </w:pPr>
      <w:r w:rsidRPr="00211CA1">
        <w:rPr>
          <w:lang w:eastAsia="en-GB"/>
        </w:rPr>
        <w:t>Many providers have and operate local policies to support</w:t>
      </w:r>
      <w:r w:rsidRPr="00686F5F">
        <w:rPr>
          <w:lang w:eastAsia="en-GB"/>
        </w:rPr>
        <w:t xml:space="preserve"> positive patient behaviours they wish to encourage and outline those behaviours that will not and should not be tolerated </w:t>
      </w:r>
      <w:proofErr w:type="gramStart"/>
      <w:r w:rsidRPr="00686F5F">
        <w:rPr>
          <w:lang w:eastAsia="en-GB"/>
        </w:rPr>
        <w:t>e.g.</w:t>
      </w:r>
      <w:proofErr w:type="gramEnd"/>
      <w:r w:rsidRPr="00686F5F">
        <w:rPr>
          <w:lang w:eastAsia="en-GB"/>
        </w:rPr>
        <w:t xml:space="preserve"> through patient charters, zero-tolerance or respect policies etc. </w:t>
      </w:r>
    </w:p>
    <w:p w14:paraId="49E185CA" w14:textId="77777777" w:rsidR="00A53DE2" w:rsidRPr="00686F5F" w:rsidRDefault="00A53DE2" w:rsidP="00A53DE2">
      <w:pPr>
        <w:spacing w:line="360" w:lineRule="auto"/>
        <w:ind w:left="720"/>
        <w:outlineLvl w:val="2"/>
        <w:rPr>
          <w:b/>
          <w:bCs w:val="0"/>
          <w:lang w:eastAsia="en-GB"/>
        </w:rPr>
      </w:pPr>
    </w:p>
    <w:p w14:paraId="6BD673BE" w14:textId="77777777" w:rsidR="00A53DE2" w:rsidRPr="00686F5F" w:rsidRDefault="00A53DE2" w:rsidP="00A53DE2">
      <w:pPr>
        <w:spacing w:line="360" w:lineRule="auto"/>
        <w:ind w:left="1276"/>
        <w:outlineLvl w:val="2"/>
        <w:rPr>
          <w:b/>
          <w:bCs w:val="0"/>
          <w:lang w:eastAsia="en-GB"/>
        </w:rPr>
      </w:pPr>
      <w:r w:rsidRPr="00686F5F">
        <w:rPr>
          <w:lang w:eastAsia="en-GB"/>
        </w:rPr>
        <w:t>Inappropriate and unacceptable behaviours may include but are not limited to:</w:t>
      </w:r>
    </w:p>
    <w:p w14:paraId="1D23264E" w14:textId="77777777" w:rsidR="00A53DE2" w:rsidRPr="00686F5F" w:rsidRDefault="00A53DE2" w:rsidP="00A53DE2">
      <w:pPr>
        <w:rPr>
          <w:lang w:eastAsia="en-GB"/>
        </w:rPr>
      </w:pPr>
    </w:p>
    <w:p w14:paraId="68812F90" w14:textId="77777777" w:rsidR="00A53DE2" w:rsidRPr="00686F5F" w:rsidRDefault="00A53DE2" w:rsidP="00A53DE2">
      <w:pPr>
        <w:pStyle w:val="ListParagraph"/>
        <w:numPr>
          <w:ilvl w:val="0"/>
          <w:numId w:val="6"/>
        </w:numPr>
        <w:spacing w:line="360" w:lineRule="auto"/>
        <w:rPr>
          <w:lang w:eastAsia="en-GB"/>
        </w:rPr>
      </w:pPr>
      <w:r w:rsidRPr="00686F5F">
        <w:rPr>
          <w:lang w:eastAsia="en-GB"/>
        </w:rPr>
        <w:t xml:space="preserve">Using bad language or swearing at practice staff or other service users </w:t>
      </w:r>
    </w:p>
    <w:p w14:paraId="3F0A8E1D" w14:textId="77777777" w:rsidR="00A53DE2" w:rsidRPr="00686F5F" w:rsidRDefault="00A53DE2" w:rsidP="00A53DE2">
      <w:pPr>
        <w:pStyle w:val="ListParagraph"/>
        <w:numPr>
          <w:ilvl w:val="0"/>
          <w:numId w:val="6"/>
        </w:numPr>
        <w:spacing w:line="360" w:lineRule="auto"/>
        <w:rPr>
          <w:lang w:eastAsia="en-GB"/>
        </w:rPr>
      </w:pPr>
      <w:r w:rsidRPr="00686F5F">
        <w:rPr>
          <w:lang w:eastAsia="en-GB"/>
        </w:rPr>
        <w:t xml:space="preserve">Racial abuse </w:t>
      </w:r>
    </w:p>
    <w:p w14:paraId="12FAD078" w14:textId="77777777" w:rsidR="00A53DE2" w:rsidRPr="00686F5F" w:rsidRDefault="00A53DE2" w:rsidP="00A53DE2">
      <w:pPr>
        <w:pStyle w:val="ListParagraph"/>
        <w:numPr>
          <w:ilvl w:val="0"/>
          <w:numId w:val="6"/>
        </w:numPr>
        <w:spacing w:line="360" w:lineRule="auto"/>
        <w:rPr>
          <w:lang w:eastAsia="en-GB"/>
        </w:rPr>
      </w:pPr>
      <w:r w:rsidRPr="00686F5F">
        <w:rPr>
          <w:lang w:eastAsia="en-GB"/>
        </w:rPr>
        <w:t xml:space="preserve">Sexual harassment </w:t>
      </w:r>
    </w:p>
    <w:p w14:paraId="3B1C4E95" w14:textId="77777777" w:rsidR="00A53DE2" w:rsidRPr="00686F5F" w:rsidRDefault="00A53DE2" w:rsidP="00A53DE2">
      <w:pPr>
        <w:pStyle w:val="ListParagraph"/>
        <w:numPr>
          <w:ilvl w:val="0"/>
          <w:numId w:val="6"/>
        </w:numPr>
        <w:spacing w:line="360" w:lineRule="auto"/>
        <w:rPr>
          <w:lang w:eastAsia="en-GB"/>
        </w:rPr>
      </w:pPr>
      <w:proofErr w:type="spellStart"/>
      <w:r w:rsidRPr="00686F5F">
        <w:rPr>
          <w:lang w:eastAsia="en-GB"/>
        </w:rPr>
        <w:t>Unncessarily</w:t>
      </w:r>
      <w:proofErr w:type="spellEnd"/>
      <w:r w:rsidRPr="00686F5F">
        <w:rPr>
          <w:lang w:eastAsia="en-GB"/>
        </w:rPr>
        <w:t xml:space="preserve"> persistent or unrealistic service demands that cause disruption </w:t>
      </w:r>
    </w:p>
    <w:p w14:paraId="47FF6C71" w14:textId="77777777" w:rsidR="00A53DE2" w:rsidRPr="00686F5F" w:rsidRDefault="00A53DE2" w:rsidP="00A53DE2">
      <w:pPr>
        <w:pStyle w:val="ListParagraph"/>
        <w:numPr>
          <w:ilvl w:val="0"/>
          <w:numId w:val="6"/>
        </w:numPr>
        <w:spacing w:line="360" w:lineRule="auto"/>
        <w:rPr>
          <w:lang w:eastAsia="en-GB"/>
        </w:rPr>
      </w:pPr>
      <w:r w:rsidRPr="00686F5F">
        <w:rPr>
          <w:lang w:eastAsia="en-GB"/>
        </w:rPr>
        <w:t xml:space="preserve">Causing damage to practice premises or to the property of staff or other service users </w:t>
      </w:r>
    </w:p>
    <w:p w14:paraId="2CEFFB60" w14:textId="77777777" w:rsidR="00A53DE2" w:rsidRPr="00686F5F" w:rsidRDefault="00A53DE2" w:rsidP="00A53DE2">
      <w:pPr>
        <w:pStyle w:val="ListParagraph"/>
        <w:numPr>
          <w:ilvl w:val="0"/>
          <w:numId w:val="6"/>
        </w:numPr>
        <w:spacing w:line="360" w:lineRule="auto"/>
        <w:rPr>
          <w:lang w:eastAsia="en-GB"/>
        </w:rPr>
      </w:pPr>
      <w:r w:rsidRPr="00686F5F">
        <w:rPr>
          <w:lang w:eastAsia="en-GB"/>
        </w:rPr>
        <w:t xml:space="preserve">Stealing from practice premises, </w:t>
      </w:r>
      <w:proofErr w:type="gramStart"/>
      <w:r w:rsidRPr="00686F5F">
        <w:rPr>
          <w:lang w:eastAsia="en-GB"/>
        </w:rPr>
        <w:t>staff</w:t>
      </w:r>
      <w:proofErr w:type="gramEnd"/>
      <w:r w:rsidRPr="00686F5F">
        <w:rPr>
          <w:lang w:eastAsia="en-GB"/>
        </w:rPr>
        <w:t xml:space="preserve"> or other service users </w:t>
      </w:r>
    </w:p>
    <w:p w14:paraId="0D8B60EE" w14:textId="77777777" w:rsidR="00A53DE2" w:rsidRDefault="00A53DE2" w:rsidP="00A53DE2">
      <w:pPr>
        <w:pStyle w:val="ListParagraph"/>
        <w:numPr>
          <w:ilvl w:val="0"/>
          <w:numId w:val="6"/>
        </w:numPr>
        <w:spacing w:line="360" w:lineRule="auto"/>
        <w:rPr>
          <w:lang w:eastAsia="en-GB"/>
        </w:rPr>
      </w:pPr>
      <w:r w:rsidRPr="00686F5F">
        <w:rPr>
          <w:lang w:eastAsia="en-GB"/>
        </w:rPr>
        <w:t>Obtaining drugs and/or medical services fraudulently</w:t>
      </w:r>
    </w:p>
    <w:p w14:paraId="37122FC7" w14:textId="77777777" w:rsidR="00A53DE2" w:rsidRPr="00686F5F" w:rsidRDefault="00A53DE2" w:rsidP="00A53DE2">
      <w:pPr>
        <w:ind w:left="792"/>
        <w:contextualSpacing/>
        <w:rPr>
          <w:lang w:eastAsia="en-GB"/>
        </w:rPr>
      </w:pPr>
    </w:p>
    <w:p w14:paraId="4FBFAA4D" w14:textId="77777777" w:rsidR="00A53DE2" w:rsidRPr="00686F5F" w:rsidRDefault="00A53DE2" w:rsidP="00A53DE2">
      <w:pPr>
        <w:ind w:left="851" w:hanging="851"/>
        <w:rPr>
          <w:lang w:eastAsia="en-GB"/>
        </w:rPr>
      </w:pPr>
    </w:p>
    <w:p w14:paraId="06F530FB" w14:textId="77777777" w:rsidR="00A53DE2" w:rsidRPr="00686F5F" w:rsidRDefault="00A53DE2" w:rsidP="00A53DE2">
      <w:pPr>
        <w:numPr>
          <w:ilvl w:val="2"/>
          <w:numId w:val="5"/>
        </w:numPr>
        <w:spacing w:line="360" w:lineRule="auto"/>
        <w:ind w:left="851" w:hanging="851"/>
        <w:outlineLvl w:val="2"/>
        <w:rPr>
          <w:lang w:eastAsia="en-GB"/>
        </w:rPr>
      </w:pPr>
      <w:r w:rsidRPr="00686F5F">
        <w:rPr>
          <w:lang w:eastAsia="en-GB"/>
        </w:rPr>
        <w:t xml:space="preserve">Violence and threatening abuse </w:t>
      </w:r>
      <w:proofErr w:type="gramStart"/>
      <w:r w:rsidRPr="00686F5F">
        <w:rPr>
          <w:lang w:eastAsia="en-GB"/>
        </w:rPr>
        <w:t>is</w:t>
      </w:r>
      <w:proofErr w:type="gramEnd"/>
      <w:r w:rsidRPr="00686F5F">
        <w:rPr>
          <w:lang w:eastAsia="en-GB"/>
        </w:rPr>
        <w:t xml:space="preserve"> dealt with separately in Chapter </w:t>
      </w:r>
      <w:r>
        <w:rPr>
          <w:lang w:eastAsia="en-GB"/>
        </w:rPr>
        <w:t>7</w:t>
      </w:r>
      <w:r w:rsidRPr="00686F5F">
        <w:t xml:space="preserve"> but it is acknowledged the behaviours above </w:t>
      </w:r>
      <w:r w:rsidRPr="00686F5F">
        <w:rPr>
          <w:lang w:eastAsia="en-GB"/>
        </w:rPr>
        <w:t>can escalate to include or happen alongside violence and abuse.</w:t>
      </w:r>
    </w:p>
    <w:p w14:paraId="0764BAF8" w14:textId="77777777" w:rsidR="00A53DE2" w:rsidRPr="00686F5F" w:rsidRDefault="00A53DE2" w:rsidP="00A53DE2">
      <w:pPr>
        <w:spacing w:line="360" w:lineRule="auto"/>
        <w:outlineLvl w:val="2"/>
        <w:rPr>
          <w:lang w:eastAsia="en-GB"/>
        </w:rPr>
      </w:pPr>
    </w:p>
    <w:p w14:paraId="3E656EE5" w14:textId="77777777" w:rsidR="00A53DE2" w:rsidRPr="00686F5F" w:rsidRDefault="00A53DE2" w:rsidP="00A53DE2">
      <w:pPr>
        <w:numPr>
          <w:ilvl w:val="2"/>
          <w:numId w:val="5"/>
        </w:numPr>
        <w:spacing w:line="360" w:lineRule="auto"/>
        <w:ind w:left="851" w:hanging="851"/>
        <w:outlineLvl w:val="2"/>
        <w:rPr>
          <w:lang w:eastAsia="en-GB"/>
        </w:rPr>
      </w:pPr>
      <w:r w:rsidRPr="00686F5F">
        <w:rPr>
          <w:lang w:eastAsia="en-GB"/>
        </w:rPr>
        <w:t xml:space="preserve">Common to all such policies should be the underlying set of principles and values that are set out in the NHS Constitution which bind together the communities and patients the NHS serves and the people who work in it. Everyone has a right to be treated fairly and equally, with dignity and respect, and free from discrimination and harassment, and violence and abuse. There are extensive legal rights, embodied in general employment and discrimination law. </w:t>
      </w:r>
    </w:p>
    <w:p w14:paraId="545C26E0" w14:textId="77777777" w:rsidR="00A53DE2" w:rsidRPr="00686F5F" w:rsidRDefault="00A53DE2" w:rsidP="00A53DE2">
      <w:pPr>
        <w:spacing w:line="360" w:lineRule="auto"/>
        <w:ind w:hanging="142"/>
        <w:outlineLvl w:val="2"/>
        <w:rPr>
          <w:lang w:eastAsia="en-GB"/>
        </w:rPr>
      </w:pPr>
    </w:p>
    <w:p w14:paraId="6E4C377D" w14:textId="77777777" w:rsidR="00A53DE2" w:rsidRPr="00686F5F" w:rsidRDefault="00A53DE2" w:rsidP="00A53DE2">
      <w:pPr>
        <w:numPr>
          <w:ilvl w:val="2"/>
          <w:numId w:val="5"/>
        </w:numPr>
        <w:spacing w:line="360" w:lineRule="auto"/>
        <w:ind w:left="851" w:hanging="851"/>
        <w:outlineLvl w:val="2"/>
        <w:rPr>
          <w:lang w:eastAsia="en-GB"/>
        </w:rPr>
      </w:pPr>
      <w:r w:rsidRPr="00686F5F">
        <w:rPr>
          <w:lang w:eastAsia="en-GB"/>
        </w:rPr>
        <w:t>The protection and safety of the providers teams’ (and other service users</w:t>
      </w:r>
      <w:proofErr w:type="gramStart"/>
      <w:r w:rsidRPr="00686F5F">
        <w:rPr>
          <w:lang w:eastAsia="en-GB"/>
        </w:rPr>
        <w:t>’)  mental</w:t>
      </w:r>
      <w:proofErr w:type="gramEnd"/>
      <w:r w:rsidRPr="00686F5F">
        <w:rPr>
          <w:lang w:eastAsia="en-GB"/>
        </w:rPr>
        <w:t xml:space="preserve"> health is as important as the protection and safety of their physical health. NHS England and Improvement supports and requests that providers practice policies addressing inappropriate and unacceptable patient behaviours also </w:t>
      </w:r>
      <w:proofErr w:type="spellStart"/>
      <w:r w:rsidRPr="00686F5F">
        <w:rPr>
          <w:lang w:eastAsia="en-GB"/>
        </w:rPr>
        <w:t>explicity</w:t>
      </w:r>
      <w:proofErr w:type="spellEnd"/>
      <w:r w:rsidRPr="00686F5F">
        <w:rPr>
          <w:lang w:eastAsia="en-GB"/>
        </w:rPr>
        <w:t xml:space="preserve"> include positions on not tolerating any form of discrimination, </w:t>
      </w:r>
      <w:proofErr w:type="gramStart"/>
      <w:r w:rsidRPr="00686F5F">
        <w:rPr>
          <w:lang w:eastAsia="en-GB"/>
        </w:rPr>
        <w:t>harassment</w:t>
      </w:r>
      <w:proofErr w:type="gramEnd"/>
      <w:r w:rsidRPr="00686F5F">
        <w:rPr>
          <w:lang w:eastAsia="en-GB"/>
        </w:rPr>
        <w:t xml:space="preserve"> or victimisation. The following definitions may be useful:</w:t>
      </w:r>
    </w:p>
    <w:p w14:paraId="7CF9A7A0" w14:textId="77777777" w:rsidR="00A53DE2" w:rsidRPr="00686F5F" w:rsidRDefault="00A53DE2" w:rsidP="00A53DE2">
      <w:pPr>
        <w:ind w:left="432"/>
        <w:rPr>
          <w:lang w:eastAsia="en-GB"/>
        </w:rPr>
      </w:pPr>
      <w:bookmarkStart w:id="6" w:name="_Hlk87009395"/>
    </w:p>
    <w:p w14:paraId="10A090A6" w14:textId="77777777" w:rsidR="00A53DE2" w:rsidRPr="00686F5F" w:rsidRDefault="00A53DE2" w:rsidP="00A53DE2">
      <w:pPr>
        <w:numPr>
          <w:ilvl w:val="0"/>
          <w:numId w:val="2"/>
        </w:numPr>
        <w:spacing w:line="360" w:lineRule="auto"/>
        <w:contextualSpacing/>
        <w:rPr>
          <w:lang w:eastAsia="en-GB"/>
        </w:rPr>
      </w:pPr>
      <w:r w:rsidRPr="00686F5F">
        <w:rPr>
          <w:b/>
          <w:bCs w:val="0"/>
          <w:lang w:eastAsia="en-GB"/>
        </w:rPr>
        <w:t>Discrimination</w:t>
      </w:r>
      <w:r w:rsidRPr="00686F5F">
        <w:rPr>
          <w:lang w:eastAsia="en-GB"/>
        </w:rPr>
        <w:t xml:space="preserve"> The act of being treated unfairly because of who they are or because they possess certain characteristics. Within the Equality Act 2010 the following are protected characteristics:</w:t>
      </w:r>
    </w:p>
    <w:p w14:paraId="7AD9FCF4" w14:textId="77777777" w:rsidR="00A53DE2" w:rsidRPr="00686F5F" w:rsidRDefault="00A53DE2" w:rsidP="00A53DE2">
      <w:pPr>
        <w:spacing w:line="360" w:lineRule="auto"/>
        <w:ind w:left="1152"/>
        <w:contextualSpacing/>
        <w:rPr>
          <w:lang w:eastAsia="en-GB"/>
        </w:rPr>
      </w:pPr>
      <w:r w:rsidRPr="00686F5F">
        <w:t xml:space="preserve"> </w:t>
      </w:r>
    </w:p>
    <w:p w14:paraId="17CA15E1" w14:textId="77777777" w:rsidR="00A53DE2" w:rsidRPr="00686F5F" w:rsidRDefault="00A53DE2" w:rsidP="00A53DE2">
      <w:pPr>
        <w:numPr>
          <w:ilvl w:val="1"/>
          <w:numId w:val="2"/>
        </w:numPr>
        <w:spacing w:line="360" w:lineRule="auto"/>
        <w:contextualSpacing/>
        <w:rPr>
          <w:lang w:eastAsia="en-GB"/>
        </w:rPr>
      </w:pPr>
      <w:r w:rsidRPr="00686F5F">
        <w:rPr>
          <w:lang w:eastAsia="en-GB"/>
        </w:rPr>
        <w:t>age</w:t>
      </w:r>
    </w:p>
    <w:p w14:paraId="3EB60851" w14:textId="77777777" w:rsidR="00A53DE2" w:rsidRPr="00686F5F" w:rsidRDefault="00A53DE2" w:rsidP="00A53DE2">
      <w:pPr>
        <w:numPr>
          <w:ilvl w:val="1"/>
          <w:numId w:val="2"/>
        </w:numPr>
        <w:spacing w:line="360" w:lineRule="auto"/>
        <w:contextualSpacing/>
        <w:rPr>
          <w:lang w:eastAsia="en-GB"/>
        </w:rPr>
      </w:pPr>
      <w:r w:rsidRPr="00686F5F">
        <w:rPr>
          <w:lang w:eastAsia="en-GB"/>
        </w:rPr>
        <w:t>gender reassignment</w:t>
      </w:r>
    </w:p>
    <w:p w14:paraId="6869F260" w14:textId="77777777" w:rsidR="00A53DE2" w:rsidRPr="00686F5F" w:rsidRDefault="00A53DE2" w:rsidP="00A53DE2">
      <w:pPr>
        <w:numPr>
          <w:ilvl w:val="1"/>
          <w:numId w:val="2"/>
        </w:numPr>
        <w:spacing w:line="360" w:lineRule="auto"/>
        <w:contextualSpacing/>
        <w:rPr>
          <w:lang w:eastAsia="en-GB"/>
        </w:rPr>
      </w:pPr>
      <w:r w:rsidRPr="00686F5F">
        <w:rPr>
          <w:lang w:eastAsia="en-GB"/>
        </w:rPr>
        <w:t>being married or in a civil partnership</w:t>
      </w:r>
    </w:p>
    <w:p w14:paraId="43843CBE" w14:textId="77777777" w:rsidR="00A53DE2" w:rsidRPr="00686F5F" w:rsidRDefault="00A53DE2" w:rsidP="00A53DE2">
      <w:pPr>
        <w:numPr>
          <w:ilvl w:val="1"/>
          <w:numId w:val="2"/>
        </w:numPr>
        <w:spacing w:line="360" w:lineRule="auto"/>
        <w:contextualSpacing/>
        <w:rPr>
          <w:lang w:eastAsia="en-GB"/>
        </w:rPr>
      </w:pPr>
      <w:r w:rsidRPr="00686F5F">
        <w:rPr>
          <w:lang w:eastAsia="en-GB"/>
        </w:rPr>
        <w:t>being pregnant or on maternity leave</w:t>
      </w:r>
    </w:p>
    <w:p w14:paraId="431B2621" w14:textId="77777777" w:rsidR="00A53DE2" w:rsidRPr="00686F5F" w:rsidRDefault="00A53DE2" w:rsidP="00A53DE2">
      <w:pPr>
        <w:numPr>
          <w:ilvl w:val="1"/>
          <w:numId w:val="2"/>
        </w:numPr>
        <w:spacing w:line="360" w:lineRule="auto"/>
        <w:contextualSpacing/>
        <w:rPr>
          <w:lang w:eastAsia="en-GB"/>
        </w:rPr>
      </w:pPr>
      <w:r w:rsidRPr="00686F5F">
        <w:rPr>
          <w:lang w:eastAsia="en-GB"/>
        </w:rPr>
        <w:t>disability</w:t>
      </w:r>
    </w:p>
    <w:p w14:paraId="0392A96B" w14:textId="77777777" w:rsidR="00A53DE2" w:rsidRPr="00686F5F" w:rsidRDefault="00A53DE2" w:rsidP="00A53DE2">
      <w:pPr>
        <w:numPr>
          <w:ilvl w:val="1"/>
          <w:numId w:val="2"/>
        </w:numPr>
        <w:spacing w:line="360" w:lineRule="auto"/>
        <w:contextualSpacing/>
        <w:rPr>
          <w:lang w:eastAsia="en-GB"/>
        </w:rPr>
      </w:pPr>
      <w:r w:rsidRPr="00686F5F">
        <w:rPr>
          <w:lang w:eastAsia="en-GB"/>
        </w:rPr>
        <w:t>race including colour, nationality, ethnic or national origin</w:t>
      </w:r>
    </w:p>
    <w:p w14:paraId="2C7A10CA" w14:textId="77777777" w:rsidR="00A53DE2" w:rsidRPr="00686F5F" w:rsidRDefault="00A53DE2" w:rsidP="00A53DE2">
      <w:pPr>
        <w:numPr>
          <w:ilvl w:val="1"/>
          <w:numId w:val="2"/>
        </w:numPr>
        <w:spacing w:line="360" w:lineRule="auto"/>
        <w:contextualSpacing/>
        <w:rPr>
          <w:lang w:eastAsia="en-GB"/>
        </w:rPr>
      </w:pPr>
      <w:r w:rsidRPr="00686F5F">
        <w:rPr>
          <w:lang w:eastAsia="en-GB"/>
        </w:rPr>
        <w:t>religion or belief</w:t>
      </w:r>
    </w:p>
    <w:p w14:paraId="61E2E195" w14:textId="77777777" w:rsidR="00A53DE2" w:rsidRPr="00686F5F" w:rsidRDefault="00A53DE2" w:rsidP="00A53DE2">
      <w:pPr>
        <w:numPr>
          <w:ilvl w:val="1"/>
          <w:numId w:val="2"/>
        </w:numPr>
        <w:spacing w:line="360" w:lineRule="auto"/>
        <w:contextualSpacing/>
        <w:rPr>
          <w:lang w:eastAsia="en-GB"/>
        </w:rPr>
      </w:pPr>
      <w:r w:rsidRPr="00686F5F">
        <w:rPr>
          <w:lang w:eastAsia="en-GB"/>
        </w:rPr>
        <w:t>sex</w:t>
      </w:r>
    </w:p>
    <w:p w14:paraId="57F506EA" w14:textId="77777777" w:rsidR="00A53DE2" w:rsidRPr="00686F5F" w:rsidRDefault="00A53DE2" w:rsidP="00A53DE2">
      <w:pPr>
        <w:numPr>
          <w:ilvl w:val="1"/>
          <w:numId w:val="2"/>
        </w:numPr>
        <w:spacing w:line="360" w:lineRule="auto"/>
        <w:contextualSpacing/>
        <w:rPr>
          <w:lang w:eastAsia="en-GB"/>
        </w:rPr>
      </w:pPr>
      <w:r w:rsidRPr="00686F5F">
        <w:rPr>
          <w:lang w:eastAsia="en-GB"/>
        </w:rPr>
        <w:t>sexual orientation</w:t>
      </w:r>
    </w:p>
    <w:p w14:paraId="6E172D86" w14:textId="77777777" w:rsidR="00A53DE2" w:rsidRPr="00686F5F" w:rsidRDefault="00A53DE2" w:rsidP="00A53DE2">
      <w:pPr>
        <w:spacing w:line="360" w:lineRule="auto"/>
        <w:ind w:left="1152"/>
        <w:contextualSpacing/>
        <w:rPr>
          <w:lang w:eastAsia="en-GB"/>
        </w:rPr>
      </w:pPr>
    </w:p>
    <w:p w14:paraId="0A3A6AD0" w14:textId="77777777" w:rsidR="00A53DE2" w:rsidRPr="00686F5F" w:rsidRDefault="00A53DE2" w:rsidP="00A53DE2">
      <w:pPr>
        <w:numPr>
          <w:ilvl w:val="0"/>
          <w:numId w:val="2"/>
        </w:numPr>
        <w:spacing w:line="360" w:lineRule="auto"/>
        <w:contextualSpacing/>
        <w:rPr>
          <w:lang w:eastAsia="en-GB"/>
        </w:rPr>
      </w:pPr>
      <w:r w:rsidRPr="00686F5F">
        <w:rPr>
          <w:b/>
          <w:bCs w:val="0"/>
          <w:lang w:eastAsia="en-GB"/>
        </w:rPr>
        <w:t>Harassment.</w:t>
      </w:r>
      <w:r w:rsidRPr="00686F5F">
        <w:rPr>
          <w:lang w:eastAsia="en-GB"/>
        </w:rPr>
        <w:t xml:space="preserve"> The act of being subject to unwanted </w:t>
      </w:r>
      <w:proofErr w:type="gramStart"/>
      <w:r w:rsidRPr="00686F5F">
        <w:rPr>
          <w:lang w:eastAsia="en-GB"/>
        </w:rPr>
        <w:t>behaviour</w:t>
      </w:r>
      <w:proofErr w:type="gramEnd"/>
      <w:r w:rsidRPr="00686F5F">
        <w:rPr>
          <w:lang w:eastAsia="en-GB"/>
        </w:rPr>
        <w:t xml:space="preserve"> which is offensive, intimidating or humiliating. Harassment can happen on its own or alongside other forms of </w:t>
      </w:r>
      <w:proofErr w:type="gramStart"/>
      <w:r w:rsidRPr="00686F5F">
        <w:rPr>
          <w:lang w:eastAsia="en-GB"/>
        </w:rPr>
        <w:t>discrimination .</w:t>
      </w:r>
      <w:proofErr w:type="gramEnd"/>
      <w:r w:rsidRPr="00686F5F">
        <w:rPr>
          <w:lang w:eastAsia="en-GB"/>
        </w:rPr>
        <w:t xml:space="preserve"> </w:t>
      </w:r>
    </w:p>
    <w:p w14:paraId="7E206E39" w14:textId="77777777" w:rsidR="00A53DE2" w:rsidRPr="00686F5F" w:rsidRDefault="00A53DE2" w:rsidP="00A53DE2">
      <w:pPr>
        <w:spacing w:line="360" w:lineRule="auto"/>
        <w:ind w:left="720"/>
        <w:contextualSpacing/>
        <w:rPr>
          <w:lang w:eastAsia="en-GB"/>
        </w:rPr>
      </w:pPr>
    </w:p>
    <w:p w14:paraId="3D31778B" w14:textId="77777777" w:rsidR="00A53DE2" w:rsidRPr="00686F5F" w:rsidRDefault="00A53DE2" w:rsidP="00A53DE2">
      <w:pPr>
        <w:numPr>
          <w:ilvl w:val="0"/>
          <w:numId w:val="2"/>
        </w:numPr>
        <w:spacing w:line="360" w:lineRule="auto"/>
        <w:contextualSpacing/>
        <w:rPr>
          <w:lang w:eastAsia="en-GB"/>
        </w:rPr>
      </w:pPr>
      <w:r w:rsidRPr="00686F5F">
        <w:rPr>
          <w:b/>
          <w:bCs w:val="0"/>
          <w:lang w:eastAsia="en-GB"/>
        </w:rPr>
        <w:t>Victimisation.</w:t>
      </w:r>
      <w:r w:rsidRPr="00686F5F">
        <w:rPr>
          <w:lang w:eastAsia="en-GB"/>
        </w:rPr>
        <w:t xml:space="preserve"> The action of being singled out for cruel or unjust treatment.</w:t>
      </w:r>
    </w:p>
    <w:p w14:paraId="2DC3ECA2" w14:textId="77777777" w:rsidR="00A53DE2" w:rsidRPr="00686F5F" w:rsidRDefault="00A53DE2" w:rsidP="00A53DE2">
      <w:pPr>
        <w:spacing w:line="360" w:lineRule="auto"/>
        <w:ind w:left="720"/>
        <w:contextualSpacing/>
        <w:rPr>
          <w:lang w:eastAsia="en-GB"/>
        </w:rPr>
      </w:pPr>
    </w:p>
    <w:p w14:paraId="5059D439" w14:textId="77777777" w:rsidR="00A53DE2" w:rsidRPr="00686F5F" w:rsidRDefault="00A53DE2" w:rsidP="00A53DE2">
      <w:pPr>
        <w:numPr>
          <w:ilvl w:val="0"/>
          <w:numId w:val="2"/>
        </w:numPr>
        <w:spacing w:line="360" w:lineRule="auto"/>
        <w:contextualSpacing/>
        <w:rPr>
          <w:lang w:eastAsia="en-GB"/>
        </w:rPr>
      </w:pPr>
      <w:r w:rsidRPr="00686F5F">
        <w:rPr>
          <w:b/>
          <w:bCs w:val="0"/>
          <w:lang w:eastAsia="en-GB"/>
        </w:rPr>
        <w:t>Microaggressions</w:t>
      </w:r>
      <w:r w:rsidRPr="00686F5F">
        <w:rPr>
          <w:lang w:eastAsia="en-GB"/>
        </w:rPr>
        <w:t xml:space="preserve">. Verbal, </w:t>
      </w:r>
      <w:proofErr w:type="gramStart"/>
      <w:r w:rsidRPr="00686F5F">
        <w:rPr>
          <w:lang w:eastAsia="en-GB"/>
        </w:rPr>
        <w:t>non-verbal</w:t>
      </w:r>
      <w:proofErr w:type="gramEnd"/>
      <w:r w:rsidRPr="00686F5F">
        <w:rPr>
          <w:lang w:eastAsia="en-GB"/>
        </w:rPr>
        <w:t xml:space="preserve"> and environmental slights, snubs and insults which communicate hostile, derogatory or negative messages and behaviours that target a person based on their protected characteristic or belonging to a marginalised group. These can be intentional and unintentional and are based on biases (either conscious </w:t>
      </w:r>
      <w:proofErr w:type="gramStart"/>
      <w:r w:rsidRPr="00686F5F">
        <w:rPr>
          <w:lang w:eastAsia="en-GB"/>
        </w:rPr>
        <w:t>and</w:t>
      </w:r>
      <w:proofErr w:type="gramEnd"/>
      <w:r w:rsidRPr="00686F5F">
        <w:rPr>
          <w:lang w:eastAsia="en-GB"/>
        </w:rPr>
        <w:t xml:space="preserve"> unconscious). </w:t>
      </w:r>
    </w:p>
    <w:p w14:paraId="212F7297" w14:textId="77777777" w:rsidR="00A53DE2" w:rsidRPr="00686F5F" w:rsidRDefault="00A53DE2" w:rsidP="00A53DE2">
      <w:pPr>
        <w:rPr>
          <w:lang w:eastAsia="en-GB"/>
        </w:rPr>
      </w:pPr>
    </w:p>
    <w:p w14:paraId="344BC334" w14:textId="77777777" w:rsidR="00A53DE2" w:rsidRPr="00686F5F" w:rsidRDefault="00A53DE2" w:rsidP="00A53DE2">
      <w:pPr>
        <w:numPr>
          <w:ilvl w:val="1"/>
          <w:numId w:val="5"/>
        </w:numPr>
        <w:spacing w:line="360" w:lineRule="auto"/>
        <w:ind w:left="2561"/>
        <w:outlineLvl w:val="1"/>
        <w:rPr>
          <w:b/>
          <w:iCs/>
          <w:color w:val="E7E6E6" w:themeColor="background2"/>
          <w:sz w:val="28"/>
          <w:szCs w:val="28"/>
        </w:rPr>
      </w:pPr>
      <w:bookmarkStart w:id="7" w:name="_Toc95743435"/>
      <w:bookmarkStart w:id="8" w:name="_Ref87259140"/>
      <w:bookmarkEnd w:id="6"/>
      <w:r w:rsidRPr="00686F5F">
        <w:rPr>
          <w:b/>
          <w:iCs/>
          <w:color w:val="E7E6E6" w:themeColor="background2"/>
          <w:sz w:val="28"/>
          <w:szCs w:val="28"/>
        </w:rPr>
        <w:t>Contract regulations and managing inappropriate and unacceptable patient behaviours</w:t>
      </w:r>
      <w:bookmarkEnd w:id="7"/>
      <w:r w:rsidRPr="00686F5F">
        <w:rPr>
          <w:b/>
          <w:iCs/>
          <w:color w:val="E7E6E6" w:themeColor="background2"/>
          <w:sz w:val="28"/>
          <w:szCs w:val="28"/>
        </w:rPr>
        <w:t xml:space="preserve"> </w:t>
      </w:r>
      <w:bookmarkEnd w:id="8"/>
    </w:p>
    <w:p w14:paraId="598C6C25" w14:textId="77777777" w:rsidR="00A53DE2" w:rsidRPr="00686F5F" w:rsidRDefault="00A53DE2" w:rsidP="00A53DE2">
      <w:pPr>
        <w:spacing w:line="360" w:lineRule="auto"/>
        <w:ind w:left="720"/>
        <w:outlineLvl w:val="2"/>
        <w:rPr>
          <w:lang w:eastAsia="en-GB"/>
        </w:rPr>
      </w:pPr>
    </w:p>
    <w:p w14:paraId="7B1DA180" w14:textId="77777777" w:rsidR="00A53DE2" w:rsidRPr="00686F5F" w:rsidRDefault="00A53DE2" w:rsidP="00A53DE2">
      <w:pPr>
        <w:spacing w:line="360" w:lineRule="auto"/>
        <w:ind w:left="720"/>
        <w:outlineLvl w:val="2"/>
        <w:rPr>
          <w:lang w:eastAsia="en-GB"/>
        </w:rPr>
      </w:pPr>
    </w:p>
    <w:p w14:paraId="3AC9B871" w14:textId="77777777" w:rsidR="00A53DE2" w:rsidRPr="00686F5F" w:rsidRDefault="00A53DE2" w:rsidP="00A53DE2">
      <w:pPr>
        <w:numPr>
          <w:ilvl w:val="2"/>
          <w:numId w:val="5"/>
        </w:numPr>
        <w:spacing w:line="360" w:lineRule="auto"/>
        <w:ind w:left="851" w:hanging="851"/>
        <w:outlineLvl w:val="2"/>
        <w:rPr>
          <w:lang w:eastAsia="en-GB"/>
        </w:rPr>
      </w:pPr>
      <w:r w:rsidRPr="00686F5F">
        <w:lastRenderedPageBreak/>
        <w:t xml:space="preserve">Where a provider wishes to remove a patient from its practice patient list, removal may normally only be requested if, within the period of 12 months prior to the date of the request, the provider has warned the patient in writing that they are at risk of removal and reasons for this have been stated. However, the contract regulations also acknowledge that it may be justified that a written warning was not possible/appropriate in the circumstances that such a warning would be: </w:t>
      </w:r>
    </w:p>
    <w:p w14:paraId="67B59426" w14:textId="77777777" w:rsidR="00A53DE2" w:rsidRPr="00686F5F" w:rsidRDefault="00A53DE2" w:rsidP="00A53DE2">
      <w:pPr>
        <w:keepNext/>
        <w:keepLines/>
        <w:numPr>
          <w:ilvl w:val="3"/>
          <w:numId w:val="4"/>
        </w:numPr>
        <w:spacing w:before="200" w:line="360" w:lineRule="auto"/>
        <w:ind w:hanging="13"/>
        <w:outlineLvl w:val="3"/>
        <w:rPr>
          <w:rFonts w:eastAsiaTheme="majorEastAsia" w:cstheme="majorBidi"/>
          <w:bCs w:val="0"/>
          <w:iCs/>
          <w:color w:val="000000" w:themeColor="text1"/>
          <w:lang w:eastAsia="en-GB"/>
        </w:rPr>
      </w:pPr>
      <w:r w:rsidRPr="00686F5F">
        <w:rPr>
          <w:rFonts w:eastAsiaTheme="majorEastAsia" w:cstheme="majorBidi"/>
          <w:bCs w:val="0"/>
          <w:iCs/>
          <w:color w:val="000000" w:themeColor="text1"/>
          <w:lang w:eastAsia="en-GB"/>
        </w:rPr>
        <w:t>harmful to the person’s physical or mental health; or</w:t>
      </w:r>
    </w:p>
    <w:p w14:paraId="3C01727C" w14:textId="77777777" w:rsidR="00A53DE2" w:rsidRPr="00686F5F" w:rsidRDefault="00A53DE2" w:rsidP="00A53DE2">
      <w:pPr>
        <w:keepNext/>
        <w:keepLines/>
        <w:numPr>
          <w:ilvl w:val="3"/>
          <w:numId w:val="4"/>
        </w:numPr>
        <w:spacing w:before="200" w:line="360" w:lineRule="auto"/>
        <w:ind w:hanging="13"/>
        <w:outlineLvl w:val="3"/>
        <w:rPr>
          <w:rFonts w:eastAsiaTheme="majorEastAsia" w:cstheme="majorBidi"/>
          <w:bCs w:val="0"/>
          <w:iCs/>
          <w:color w:val="000000" w:themeColor="text1"/>
          <w:lang w:eastAsia="en-GB"/>
        </w:rPr>
      </w:pPr>
      <w:r w:rsidRPr="00686F5F">
        <w:rPr>
          <w:rFonts w:eastAsiaTheme="majorEastAsia" w:cstheme="majorBidi"/>
          <w:bCs w:val="0"/>
          <w:iCs/>
          <w:color w:val="000000" w:themeColor="text1"/>
          <w:lang w:eastAsia="en-GB"/>
        </w:rPr>
        <w:t xml:space="preserve">would put at risk the safety of one or more relevant person(s); or </w:t>
      </w:r>
    </w:p>
    <w:p w14:paraId="1E91E27B" w14:textId="77777777" w:rsidR="00A53DE2" w:rsidRPr="00686F5F" w:rsidRDefault="00A53DE2" w:rsidP="00A53DE2">
      <w:pPr>
        <w:keepNext/>
        <w:keepLines/>
        <w:numPr>
          <w:ilvl w:val="3"/>
          <w:numId w:val="4"/>
        </w:numPr>
        <w:spacing w:before="200" w:line="360" w:lineRule="auto"/>
        <w:ind w:left="1418" w:hanging="567"/>
        <w:outlineLvl w:val="3"/>
        <w:rPr>
          <w:rFonts w:eastAsiaTheme="majorEastAsia" w:cstheme="majorBidi"/>
          <w:bCs w:val="0"/>
          <w:iCs/>
          <w:color w:val="000000" w:themeColor="text1"/>
          <w:lang w:eastAsia="en-GB"/>
        </w:rPr>
      </w:pPr>
      <w:r w:rsidRPr="00686F5F">
        <w:rPr>
          <w:rFonts w:eastAsiaTheme="majorEastAsia" w:cstheme="majorBidi"/>
          <w:bCs w:val="0"/>
          <w:iCs/>
          <w:color w:val="000000" w:themeColor="text1"/>
          <w:lang w:eastAsia="en-GB"/>
        </w:rPr>
        <w:t xml:space="preserve">the contractor considers that it is not otherwise reasonable or practical for a warning to be given. </w:t>
      </w:r>
    </w:p>
    <w:p w14:paraId="5DAA3D95" w14:textId="77777777" w:rsidR="00A53DE2" w:rsidRPr="00686F5F" w:rsidRDefault="00A53DE2" w:rsidP="00A53DE2">
      <w:pPr>
        <w:spacing w:line="360" w:lineRule="auto"/>
        <w:ind w:left="720"/>
        <w:outlineLvl w:val="2"/>
      </w:pPr>
    </w:p>
    <w:p w14:paraId="6709601B" w14:textId="77777777" w:rsidR="00A53DE2" w:rsidRPr="00686F5F" w:rsidRDefault="00A53DE2" w:rsidP="00A53DE2">
      <w:pPr>
        <w:numPr>
          <w:ilvl w:val="2"/>
          <w:numId w:val="5"/>
        </w:numPr>
        <w:spacing w:line="360" w:lineRule="auto"/>
        <w:ind w:left="851" w:hanging="851"/>
        <w:outlineLvl w:val="2"/>
      </w:pPr>
      <w:r w:rsidRPr="00686F5F">
        <w:t xml:space="preserve">The General Medical Council </w:t>
      </w:r>
      <w:proofErr w:type="gramStart"/>
      <w:r w:rsidRPr="00686F5F">
        <w:t>states</w:t>
      </w:r>
      <w:proofErr w:type="gramEnd"/>
      <w:r w:rsidRPr="00686F5F">
        <w:t xml:space="preserve"> In Good Medical Practice that: “In rare circumstances, the trust between you and a patient may break down, and you may find it necessary to end the professional relationship. For example, this may occur if a patient has been violent to you or a colleague, e, has stolen from the premises, or has persistently acted inconsiderately or unreasonably.”</w:t>
      </w:r>
    </w:p>
    <w:p w14:paraId="6DB8E9FC" w14:textId="77777777" w:rsidR="00A53DE2" w:rsidRPr="00686F5F" w:rsidRDefault="00A53DE2" w:rsidP="00A53DE2">
      <w:pPr>
        <w:spacing w:line="360" w:lineRule="auto"/>
        <w:ind w:left="720"/>
        <w:outlineLvl w:val="2"/>
      </w:pPr>
    </w:p>
    <w:p w14:paraId="69F56440" w14:textId="77777777" w:rsidR="00A53DE2" w:rsidRPr="00686F5F" w:rsidRDefault="00A53DE2" w:rsidP="00A53DE2">
      <w:pPr>
        <w:numPr>
          <w:ilvl w:val="2"/>
          <w:numId w:val="5"/>
        </w:numPr>
        <w:spacing w:line="360" w:lineRule="auto"/>
        <w:ind w:left="851" w:hanging="851"/>
        <w:outlineLvl w:val="2"/>
      </w:pPr>
      <w:r w:rsidRPr="00686F5F">
        <w:t xml:space="preserve">Removing a patient from the practice patient list, including without prior written notice under reasonable grounds or grounds </w:t>
      </w:r>
      <w:proofErr w:type="gramStart"/>
      <w:r w:rsidRPr="00686F5F">
        <w:t>of  irrevocable</w:t>
      </w:r>
      <w:proofErr w:type="gramEnd"/>
      <w:r w:rsidRPr="00686F5F">
        <w:t xml:space="preserve"> breakdown in the relationship, is though expected to be an exceptional event. </w:t>
      </w:r>
    </w:p>
    <w:p w14:paraId="0613E743" w14:textId="77777777" w:rsidR="00A53DE2" w:rsidRPr="00686F5F" w:rsidRDefault="00A53DE2" w:rsidP="00A53DE2">
      <w:pPr>
        <w:spacing w:line="360" w:lineRule="auto"/>
        <w:ind w:left="851" w:hanging="851"/>
        <w:outlineLvl w:val="2"/>
      </w:pPr>
    </w:p>
    <w:p w14:paraId="449B9A0E" w14:textId="77777777" w:rsidR="00A53DE2" w:rsidRPr="00686F5F" w:rsidRDefault="00A53DE2" w:rsidP="00A53DE2">
      <w:pPr>
        <w:numPr>
          <w:ilvl w:val="2"/>
          <w:numId w:val="5"/>
        </w:numPr>
        <w:spacing w:line="360" w:lineRule="auto"/>
        <w:ind w:left="851" w:hanging="851"/>
        <w:outlineLvl w:val="2"/>
      </w:pPr>
      <w:r w:rsidRPr="00686F5F">
        <w:t xml:space="preserve">Providers will also recognise incidents of patient inappropriate and unacceptable behaviours will need to </w:t>
      </w:r>
      <w:proofErr w:type="gramStart"/>
      <w:r w:rsidRPr="00686F5F">
        <w:t>take into account</w:t>
      </w:r>
      <w:proofErr w:type="gramEnd"/>
      <w:r w:rsidRPr="00686F5F">
        <w:t xml:space="preserve"> that service user’s mental health, clinical presentation, neurodiversity and any other health conditions which may influence their behaviour and ensure that patient’s own protected characteristics take no bearing in the consideration process. </w:t>
      </w:r>
      <w:bookmarkStart w:id="9" w:name="_Ref87260141"/>
    </w:p>
    <w:p w14:paraId="2071E514" w14:textId="77777777" w:rsidR="00A53DE2" w:rsidRPr="00686F5F" w:rsidRDefault="00A53DE2" w:rsidP="00A53DE2">
      <w:pPr>
        <w:spacing w:line="360" w:lineRule="auto"/>
        <w:ind w:left="720"/>
        <w:outlineLvl w:val="2"/>
      </w:pPr>
    </w:p>
    <w:p w14:paraId="4C6DE983" w14:textId="77777777" w:rsidR="00A53DE2" w:rsidRPr="00686F5F" w:rsidRDefault="00A53DE2" w:rsidP="00A53DE2">
      <w:pPr>
        <w:numPr>
          <w:ilvl w:val="1"/>
          <w:numId w:val="5"/>
        </w:numPr>
        <w:spacing w:line="360" w:lineRule="auto"/>
        <w:ind w:left="2561"/>
        <w:outlineLvl w:val="1"/>
        <w:rPr>
          <w:b/>
          <w:iCs/>
          <w:color w:val="E7E6E6" w:themeColor="background2"/>
          <w:sz w:val="28"/>
        </w:rPr>
      </w:pPr>
      <w:bookmarkStart w:id="10" w:name="_Toc95743436"/>
      <w:r w:rsidRPr="00686F5F">
        <w:rPr>
          <w:b/>
          <w:iCs/>
          <w:color w:val="E7E6E6" w:themeColor="background2"/>
          <w:sz w:val="28"/>
          <w:szCs w:val="28"/>
          <w:lang w:eastAsia="en-GB"/>
        </w:rPr>
        <w:t>The process for managing inappropriate and unacceptable behaviours</w:t>
      </w:r>
      <w:bookmarkEnd w:id="9"/>
      <w:bookmarkEnd w:id="10"/>
    </w:p>
    <w:p w14:paraId="2FA417BD" w14:textId="77777777" w:rsidR="00A53DE2" w:rsidRPr="00686F5F" w:rsidRDefault="00A53DE2" w:rsidP="00A53DE2">
      <w:pPr>
        <w:spacing w:line="360" w:lineRule="auto"/>
        <w:ind w:left="720"/>
        <w:outlineLvl w:val="2"/>
      </w:pPr>
    </w:p>
    <w:p w14:paraId="452F7CA2" w14:textId="77777777" w:rsidR="00A53DE2" w:rsidRPr="00686F5F" w:rsidRDefault="00A53DE2" w:rsidP="00A53DE2">
      <w:pPr>
        <w:numPr>
          <w:ilvl w:val="2"/>
          <w:numId w:val="5"/>
        </w:numPr>
        <w:spacing w:line="360" w:lineRule="auto"/>
        <w:ind w:left="851" w:hanging="851"/>
        <w:outlineLvl w:val="2"/>
      </w:pPr>
      <w:r w:rsidRPr="00686F5F">
        <w:rPr>
          <w:lang w:eastAsia="en-GB"/>
        </w:rPr>
        <w:t xml:space="preserve">Where a patient has acted inappropriately or unacceptably, the provider will need to carefully consider (taking account of the nature and severity of the incident / behaviour, the impact on practice services, staff or other service users and the patient’s own circumstances) if the incident: </w:t>
      </w:r>
    </w:p>
    <w:p w14:paraId="49CD3DEC" w14:textId="77777777" w:rsidR="00A53DE2" w:rsidRPr="00686F5F" w:rsidRDefault="00A53DE2" w:rsidP="00A53DE2">
      <w:pPr>
        <w:rPr>
          <w:lang w:eastAsia="en-GB"/>
        </w:rPr>
      </w:pPr>
    </w:p>
    <w:p w14:paraId="61CD763A" w14:textId="77777777" w:rsidR="00A53DE2" w:rsidRPr="00686F5F" w:rsidRDefault="00A53DE2" w:rsidP="00A53DE2">
      <w:pPr>
        <w:numPr>
          <w:ilvl w:val="0"/>
          <w:numId w:val="3"/>
        </w:numPr>
        <w:spacing w:line="360" w:lineRule="auto"/>
        <w:contextualSpacing/>
        <w:rPr>
          <w:lang w:eastAsia="en-GB"/>
        </w:rPr>
      </w:pPr>
      <w:r w:rsidRPr="00686F5F">
        <w:rPr>
          <w:lang w:eastAsia="en-GB"/>
        </w:rPr>
        <w:t xml:space="preserve">meets the relevant criteria for removal from the practice patient list; and, if so, if it is nevertheless willing to continue to manage its relationship with the patient or proceed with the removal; or,  </w:t>
      </w:r>
    </w:p>
    <w:p w14:paraId="223D73B3" w14:textId="77777777" w:rsidR="00A53DE2" w:rsidRPr="00686F5F" w:rsidRDefault="00A53DE2" w:rsidP="00A53DE2">
      <w:pPr>
        <w:spacing w:line="360" w:lineRule="auto"/>
        <w:ind w:left="1080"/>
        <w:contextualSpacing/>
        <w:rPr>
          <w:lang w:eastAsia="en-GB"/>
        </w:rPr>
      </w:pPr>
    </w:p>
    <w:p w14:paraId="2A8C71B2" w14:textId="77777777" w:rsidR="00A53DE2" w:rsidRPr="00686F5F" w:rsidRDefault="00A53DE2" w:rsidP="00A53DE2">
      <w:pPr>
        <w:numPr>
          <w:ilvl w:val="0"/>
          <w:numId w:val="3"/>
        </w:numPr>
        <w:spacing w:line="360" w:lineRule="auto"/>
        <w:contextualSpacing/>
        <w:rPr>
          <w:lang w:eastAsia="en-GB"/>
        </w:rPr>
      </w:pPr>
      <w:r w:rsidRPr="00686F5F">
        <w:rPr>
          <w:lang w:eastAsia="en-GB"/>
        </w:rPr>
        <w:t>does not meet the relevant criteria for removal from the practice patient list, how it will manage its continuing relationship with the patient.</w:t>
      </w:r>
    </w:p>
    <w:p w14:paraId="68F28112" w14:textId="77777777" w:rsidR="00A53DE2" w:rsidRPr="00686F5F" w:rsidRDefault="00A53DE2" w:rsidP="00A53DE2">
      <w:pPr>
        <w:spacing w:line="360" w:lineRule="auto"/>
        <w:rPr>
          <w:lang w:eastAsia="en-GB"/>
        </w:rPr>
      </w:pPr>
    </w:p>
    <w:p w14:paraId="3A4E6D5A" w14:textId="77777777" w:rsidR="00A53DE2" w:rsidRPr="00686F5F" w:rsidRDefault="00A53DE2" w:rsidP="00A53DE2">
      <w:pPr>
        <w:numPr>
          <w:ilvl w:val="2"/>
          <w:numId w:val="5"/>
        </w:numPr>
        <w:spacing w:line="360" w:lineRule="auto"/>
        <w:ind w:left="851" w:hanging="851"/>
        <w:outlineLvl w:val="2"/>
        <w:rPr>
          <w:lang w:eastAsia="en-GB"/>
        </w:rPr>
      </w:pPr>
      <w:r w:rsidRPr="00686F5F">
        <w:rPr>
          <w:lang w:eastAsia="en-GB"/>
        </w:rPr>
        <w:t xml:space="preserve">The stated consequence of stepping outside the providers practice polices of expected patient </w:t>
      </w:r>
      <w:proofErr w:type="spellStart"/>
      <w:r w:rsidRPr="00686F5F">
        <w:rPr>
          <w:lang w:eastAsia="en-GB"/>
        </w:rPr>
        <w:t>behavours</w:t>
      </w:r>
      <w:proofErr w:type="spellEnd"/>
      <w:r w:rsidRPr="00686F5F">
        <w:rPr>
          <w:lang w:eastAsia="en-GB"/>
        </w:rPr>
        <w:t xml:space="preserve"> need to be things that the practice can and will carry out.  The process for removing patients from the practice list on reasonable grounds is described in Chapter 3. The process for removing violent patients is described in Chapter </w:t>
      </w:r>
      <w:r>
        <w:rPr>
          <w:lang w:eastAsia="en-GB"/>
        </w:rPr>
        <w:t>7</w:t>
      </w:r>
      <w:r w:rsidRPr="00686F5F">
        <w:rPr>
          <w:lang w:eastAsia="en-GB"/>
        </w:rPr>
        <w:t>.</w:t>
      </w:r>
    </w:p>
    <w:p w14:paraId="6DC5D90E" w14:textId="77777777" w:rsidR="00A53DE2" w:rsidRPr="00686F5F" w:rsidRDefault="00A53DE2" w:rsidP="00A53DE2">
      <w:pPr>
        <w:spacing w:line="360" w:lineRule="auto"/>
        <w:ind w:left="851" w:hanging="851"/>
        <w:outlineLvl w:val="2"/>
        <w:rPr>
          <w:lang w:eastAsia="en-GB"/>
        </w:rPr>
      </w:pPr>
    </w:p>
    <w:p w14:paraId="5A24D33D" w14:textId="77777777" w:rsidR="00A53DE2" w:rsidRPr="00686F5F" w:rsidRDefault="00A53DE2" w:rsidP="00A53DE2">
      <w:pPr>
        <w:numPr>
          <w:ilvl w:val="2"/>
          <w:numId w:val="5"/>
        </w:numPr>
        <w:spacing w:line="360" w:lineRule="auto"/>
        <w:ind w:left="851" w:hanging="851"/>
        <w:outlineLvl w:val="2"/>
        <w:rPr>
          <w:lang w:eastAsia="en-GB"/>
        </w:rPr>
      </w:pPr>
      <w:r w:rsidRPr="00686F5F">
        <w:rPr>
          <w:lang w:eastAsia="en-GB"/>
        </w:rPr>
        <w:t xml:space="preserve">British Medical Association General Practitioner Committee </w:t>
      </w:r>
      <w:hyperlink r:id="rId5" w:history="1">
        <w:r w:rsidRPr="00686F5F">
          <w:rPr>
            <w:color w:val="0000FF"/>
            <w:u w:val="single"/>
            <w:lang w:eastAsia="en-GB"/>
          </w:rPr>
          <w:t>advice</w:t>
        </w:r>
      </w:hyperlink>
      <w:r w:rsidRPr="00686F5F">
        <w:rPr>
          <w:lang w:eastAsia="en-GB"/>
        </w:rPr>
        <w:t xml:space="preserve"> on removing patients from the practice acknowledges “Many patients who are misusing services can change their behaviour if it is brought to their attention.”</w:t>
      </w:r>
    </w:p>
    <w:p w14:paraId="51C8AD64" w14:textId="77777777" w:rsidR="00A53DE2" w:rsidRPr="00686F5F" w:rsidRDefault="00A53DE2" w:rsidP="00A53DE2">
      <w:pPr>
        <w:spacing w:line="360" w:lineRule="auto"/>
        <w:ind w:left="720"/>
        <w:outlineLvl w:val="2"/>
        <w:rPr>
          <w:lang w:eastAsia="en-GB"/>
        </w:rPr>
      </w:pPr>
    </w:p>
    <w:p w14:paraId="1AB0B431" w14:textId="77777777" w:rsidR="00A53DE2" w:rsidRPr="00686F5F" w:rsidRDefault="00A53DE2" w:rsidP="00A53DE2">
      <w:pPr>
        <w:numPr>
          <w:ilvl w:val="2"/>
          <w:numId w:val="5"/>
        </w:numPr>
        <w:spacing w:line="360" w:lineRule="auto"/>
        <w:ind w:left="851" w:hanging="851"/>
        <w:outlineLvl w:val="2"/>
        <w:rPr>
          <w:lang w:eastAsia="en-GB"/>
        </w:rPr>
      </w:pPr>
      <w:r w:rsidRPr="00686F5F">
        <w:rPr>
          <w:lang w:eastAsia="en-GB"/>
        </w:rPr>
        <w:t xml:space="preserve">A warning letter provides such an opportunity and where used should indicate continued registration will cease if the inappropriate or unacceptable behaviour continues or reoccurs and therefore formally documents and </w:t>
      </w:r>
      <w:proofErr w:type="gramStart"/>
      <w:r w:rsidRPr="00686F5F">
        <w:rPr>
          <w:lang w:eastAsia="en-GB"/>
        </w:rPr>
        <w:t>evidences</w:t>
      </w:r>
      <w:proofErr w:type="gramEnd"/>
      <w:r w:rsidRPr="00686F5F">
        <w:rPr>
          <w:lang w:eastAsia="en-GB"/>
        </w:rPr>
        <w:t xml:space="preserve"> reasonable grounds for future removal should it do so. See  </w:t>
      </w:r>
      <w:r w:rsidRPr="00686F5F">
        <w:rPr>
          <w:lang w:eastAsia="en-GB"/>
        </w:rPr>
        <w:fldChar w:fldCharType="begin"/>
      </w:r>
      <w:r w:rsidRPr="00686F5F">
        <w:rPr>
          <w:lang w:eastAsia="en-GB"/>
        </w:rPr>
        <w:instrText xml:space="preserve"> REF _Ref87270191 \h </w:instrText>
      </w:r>
      <w:r w:rsidRPr="00686F5F">
        <w:rPr>
          <w:lang w:eastAsia="en-GB"/>
        </w:rPr>
      </w:r>
      <w:r w:rsidRPr="00686F5F">
        <w:rPr>
          <w:lang w:eastAsia="en-GB"/>
        </w:rPr>
        <w:fldChar w:fldCharType="separate"/>
      </w:r>
      <w:r w:rsidRPr="00686F5F">
        <w:rPr>
          <w:b/>
        </w:rPr>
        <w:t>Appendix One – Template Warning Letter</w:t>
      </w:r>
      <w:r w:rsidRPr="00686F5F">
        <w:rPr>
          <w:lang w:eastAsia="en-GB"/>
        </w:rPr>
        <w:fldChar w:fldCharType="end"/>
      </w:r>
      <w:r w:rsidRPr="00686F5F">
        <w:rPr>
          <w:lang w:eastAsia="en-GB"/>
        </w:rPr>
        <w:t xml:space="preserve">. </w:t>
      </w:r>
    </w:p>
    <w:p w14:paraId="07FD6DA2" w14:textId="77777777" w:rsidR="00A53DE2" w:rsidRPr="00686F5F" w:rsidRDefault="00A53DE2" w:rsidP="00A53DE2">
      <w:pPr>
        <w:spacing w:line="360" w:lineRule="auto"/>
        <w:ind w:left="851" w:hanging="851"/>
        <w:outlineLvl w:val="2"/>
        <w:rPr>
          <w:lang w:eastAsia="en-GB"/>
        </w:rPr>
      </w:pPr>
    </w:p>
    <w:p w14:paraId="20638B50" w14:textId="77777777" w:rsidR="00A53DE2" w:rsidRPr="00686F5F" w:rsidRDefault="00A53DE2" w:rsidP="00A53DE2">
      <w:pPr>
        <w:numPr>
          <w:ilvl w:val="2"/>
          <w:numId w:val="5"/>
        </w:numPr>
        <w:spacing w:line="360" w:lineRule="auto"/>
        <w:ind w:left="851" w:hanging="851"/>
        <w:outlineLvl w:val="2"/>
        <w:rPr>
          <w:lang w:eastAsia="en-GB"/>
        </w:rPr>
      </w:pPr>
      <w:r>
        <w:rPr>
          <w:lang w:eastAsia="en-GB"/>
        </w:rPr>
        <w:t>A</w:t>
      </w:r>
      <w:r w:rsidRPr="00686F5F">
        <w:rPr>
          <w:lang w:eastAsia="en-GB"/>
        </w:rPr>
        <w:t xml:space="preserve">cceptable behaviour guidance agreements (or otherwise known as practice-patient or doctor–patient contracts) can also be a useful tool to modify behaviour and should be considered as either a follow up to or used alongside a warning letter. The demands imposed by the agreement need to </w:t>
      </w:r>
      <w:r w:rsidRPr="00686F5F">
        <w:rPr>
          <w:lang w:eastAsia="en-GB"/>
        </w:rPr>
        <w:lastRenderedPageBreak/>
        <w:t>be reasonable in line with the providers practice policies and any specific demands linked to the individual case (</w:t>
      </w:r>
      <w:proofErr w:type="spellStart"/>
      <w:r w:rsidRPr="00686F5F">
        <w:rPr>
          <w:lang w:eastAsia="en-GB"/>
        </w:rPr>
        <w:t>eg</w:t>
      </w:r>
      <w:proofErr w:type="spellEnd"/>
      <w:r w:rsidRPr="00686F5F">
        <w:rPr>
          <w:lang w:eastAsia="en-GB"/>
        </w:rPr>
        <w:t xml:space="preserve">, requests for personal apology, use of ‘cooling off’ periods) should be fair and not excessively burdensome or disproportionate to the risk. See </w:t>
      </w:r>
      <w:r w:rsidRPr="00686F5F">
        <w:rPr>
          <w:lang w:eastAsia="en-GB"/>
        </w:rPr>
        <w:fldChar w:fldCharType="begin"/>
      </w:r>
      <w:r w:rsidRPr="00686F5F">
        <w:rPr>
          <w:lang w:eastAsia="en-GB"/>
        </w:rPr>
        <w:instrText xml:space="preserve"> REF _Ref87270417 \h </w:instrText>
      </w:r>
      <w:r w:rsidRPr="00686F5F">
        <w:rPr>
          <w:lang w:eastAsia="en-GB"/>
        </w:rPr>
      </w:r>
      <w:r w:rsidRPr="00686F5F">
        <w:rPr>
          <w:lang w:eastAsia="en-GB"/>
        </w:rPr>
        <w:fldChar w:fldCharType="separate"/>
      </w:r>
      <w:r w:rsidRPr="00686F5F">
        <w:rPr>
          <w:b/>
        </w:rPr>
        <w:t>Appendix Two – Template good behaviour guidance agreement</w:t>
      </w:r>
      <w:r w:rsidRPr="00686F5F">
        <w:rPr>
          <w:lang w:eastAsia="en-GB"/>
        </w:rPr>
        <w:fldChar w:fldCharType="end"/>
      </w:r>
      <w:r w:rsidRPr="00686F5F">
        <w:rPr>
          <w:lang w:eastAsia="en-GB"/>
        </w:rPr>
        <w:t xml:space="preserve">. </w:t>
      </w:r>
      <w:bookmarkStart w:id="11" w:name="_Ref87260148"/>
    </w:p>
    <w:p w14:paraId="25E43D07" w14:textId="77777777" w:rsidR="00A53DE2" w:rsidRPr="00686F5F" w:rsidRDefault="00A53DE2" w:rsidP="00A53DE2">
      <w:pPr>
        <w:spacing w:line="360" w:lineRule="auto"/>
        <w:ind w:left="720"/>
        <w:outlineLvl w:val="2"/>
        <w:rPr>
          <w:lang w:eastAsia="en-GB"/>
        </w:rPr>
      </w:pPr>
    </w:p>
    <w:p w14:paraId="4005FB87" w14:textId="77777777" w:rsidR="00A53DE2" w:rsidRPr="00686F5F" w:rsidRDefault="00A53DE2" w:rsidP="00A53DE2">
      <w:pPr>
        <w:numPr>
          <w:ilvl w:val="1"/>
          <w:numId w:val="5"/>
        </w:numPr>
        <w:spacing w:line="360" w:lineRule="auto"/>
        <w:ind w:left="2561"/>
        <w:outlineLvl w:val="1"/>
        <w:rPr>
          <w:b/>
          <w:iCs/>
          <w:color w:val="E7E6E6" w:themeColor="background2"/>
          <w:sz w:val="28"/>
          <w:lang w:eastAsia="en-GB"/>
        </w:rPr>
      </w:pPr>
      <w:bookmarkStart w:id="12" w:name="_Toc95743437"/>
      <w:r w:rsidRPr="00686F5F">
        <w:rPr>
          <w:b/>
          <w:iCs/>
          <w:color w:val="E7E6E6" w:themeColor="background2"/>
          <w:sz w:val="28"/>
          <w:szCs w:val="28"/>
          <w:lang w:eastAsia="en-GB"/>
        </w:rPr>
        <w:t>Considerations for ensuring ongoing access for patients removed from a practice patient list due in inappropriate and unacceptable patient behaviours.</w:t>
      </w:r>
      <w:bookmarkEnd w:id="11"/>
      <w:bookmarkEnd w:id="12"/>
    </w:p>
    <w:p w14:paraId="408F368C" w14:textId="77777777" w:rsidR="00A53DE2" w:rsidRPr="00686F5F" w:rsidRDefault="00A53DE2" w:rsidP="00A53DE2">
      <w:pPr>
        <w:ind w:left="432"/>
        <w:outlineLvl w:val="0"/>
        <w:rPr>
          <w:bCs w:val="0"/>
          <w:szCs w:val="20"/>
          <w:lang w:eastAsia="en-GB"/>
        </w:rPr>
      </w:pPr>
    </w:p>
    <w:p w14:paraId="512C5DCB" w14:textId="77777777" w:rsidR="00A53DE2" w:rsidRPr="00686F5F" w:rsidRDefault="00A53DE2" w:rsidP="00A53DE2">
      <w:pPr>
        <w:numPr>
          <w:ilvl w:val="2"/>
          <w:numId w:val="5"/>
        </w:numPr>
        <w:spacing w:line="360" w:lineRule="auto"/>
        <w:ind w:left="851" w:hanging="851"/>
        <w:outlineLvl w:val="2"/>
        <w:rPr>
          <w:lang w:eastAsia="en-GB"/>
        </w:rPr>
      </w:pPr>
      <w:r w:rsidRPr="00686F5F">
        <w:rPr>
          <w:lang w:eastAsia="en-GB"/>
        </w:rPr>
        <w:t>Other than on the grounds of violence or threatening behaviour, the grounds a patient has been removed from a practice patient list should not ordinarily be a factor to be considered by practices when approached by new patients.</w:t>
      </w:r>
    </w:p>
    <w:p w14:paraId="2E1712C8" w14:textId="77777777" w:rsidR="00A53DE2" w:rsidRPr="00686F5F" w:rsidRDefault="00A53DE2" w:rsidP="00A53DE2">
      <w:pPr>
        <w:numPr>
          <w:ilvl w:val="2"/>
          <w:numId w:val="5"/>
        </w:numPr>
        <w:spacing w:line="360" w:lineRule="auto"/>
        <w:ind w:left="851" w:hanging="851"/>
        <w:outlineLvl w:val="2"/>
        <w:rPr>
          <w:lang w:eastAsia="en-GB"/>
        </w:rPr>
      </w:pPr>
      <w:r w:rsidRPr="00686F5F">
        <w:rPr>
          <w:bCs w:val="0"/>
          <w:szCs w:val="20"/>
          <w:lang w:eastAsia="en-GB"/>
        </w:rPr>
        <w:t xml:space="preserve">Additionally, where a patient has been removed from a practice list but has subsequently been unable to register with a new practice, commissioners may need to assign the patient to a practice whose list of patients is open. Chapter 3, Section 3.2.4 ‘Where Patient Assignment to a Practice List is Required’, is clear on the considerations that should be </w:t>
      </w:r>
      <w:proofErr w:type="gramStart"/>
      <w:r w:rsidRPr="00686F5F">
        <w:rPr>
          <w:bCs w:val="0"/>
          <w:szCs w:val="20"/>
          <w:lang w:eastAsia="en-GB"/>
        </w:rPr>
        <w:t>taken into account</w:t>
      </w:r>
      <w:proofErr w:type="gramEnd"/>
      <w:r w:rsidRPr="00686F5F">
        <w:rPr>
          <w:bCs w:val="0"/>
          <w:szCs w:val="20"/>
          <w:lang w:eastAsia="en-GB"/>
        </w:rPr>
        <w:t xml:space="preserve"> by commissioners. </w:t>
      </w:r>
    </w:p>
    <w:p w14:paraId="46385AEC" w14:textId="77777777" w:rsidR="00A53DE2" w:rsidRPr="00686F5F" w:rsidRDefault="00A53DE2" w:rsidP="00A53DE2">
      <w:pPr>
        <w:spacing w:line="360" w:lineRule="auto"/>
        <w:ind w:left="720"/>
        <w:outlineLvl w:val="2"/>
        <w:rPr>
          <w:lang w:eastAsia="en-GB"/>
        </w:rPr>
      </w:pPr>
    </w:p>
    <w:p w14:paraId="7B04E885" w14:textId="77777777" w:rsidR="00A53DE2" w:rsidRPr="00686F5F" w:rsidRDefault="00A53DE2" w:rsidP="00A53DE2">
      <w:pPr>
        <w:pStyle w:val="ListParagraph"/>
        <w:numPr>
          <w:ilvl w:val="2"/>
          <w:numId w:val="5"/>
        </w:numPr>
        <w:spacing w:line="360" w:lineRule="auto"/>
        <w:ind w:left="851" w:hanging="851"/>
        <w:outlineLvl w:val="2"/>
        <w:rPr>
          <w:lang w:eastAsia="en-GB"/>
        </w:rPr>
      </w:pPr>
      <w:r w:rsidRPr="00211CA1">
        <w:rPr>
          <w:szCs w:val="20"/>
          <w:lang w:eastAsia="en-GB"/>
        </w:rPr>
        <w:t xml:space="preserve">It is recognised some patients can fall </w:t>
      </w:r>
      <w:proofErr w:type="gramStart"/>
      <w:r w:rsidRPr="00211CA1">
        <w:rPr>
          <w:szCs w:val="20"/>
          <w:lang w:eastAsia="en-GB"/>
        </w:rPr>
        <w:t>in to</w:t>
      </w:r>
      <w:proofErr w:type="gramEnd"/>
      <w:r w:rsidRPr="00211CA1">
        <w:rPr>
          <w:szCs w:val="20"/>
          <w:lang w:eastAsia="en-GB"/>
        </w:rPr>
        <w:t xml:space="preserve"> routine cycles of being removed and reregistered. </w:t>
      </w:r>
      <w:r w:rsidRPr="00211CA1">
        <w:rPr>
          <w:bCs w:val="0"/>
          <w:szCs w:val="20"/>
          <w:lang w:eastAsia="en-GB"/>
        </w:rPr>
        <w:t xml:space="preserve">Commissioners should consider how the needs of such patients may be best met and the support providers may need locally to ensure such cycles are broken in the interests of both providers and such patients. </w:t>
      </w:r>
    </w:p>
    <w:p w14:paraId="06593FE3" w14:textId="77777777" w:rsidR="00A53DE2" w:rsidRDefault="00A53DE2" w:rsidP="00A53DE2">
      <w:pPr>
        <w:ind w:left="432"/>
        <w:outlineLvl w:val="0"/>
        <w:rPr>
          <w:bCs w:val="0"/>
          <w:szCs w:val="20"/>
          <w:lang w:eastAsia="en-GB"/>
        </w:rPr>
      </w:pPr>
    </w:p>
    <w:p w14:paraId="28F4ADD3" w14:textId="77777777" w:rsidR="00A53DE2" w:rsidRDefault="00A53DE2" w:rsidP="00A53DE2">
      <w:pPr>
        <w:ind w:left="432"/>
        <w:outlineLvl w:val="0"/>
        <w:rPr>
          <w:bCs w:val="0"/>
          <w:szCs w:val="20"/>
          <w:lang w:eastAsia="en-GB"/>
        </w:rPr>
      </w:pPr>
    </w:p>
    <w:p w14:paraId="4DBD40A2" w14:textId="77777777" w:rsidR="00A53DE2" w:rsidRDefault="00A53DE2" w:rsidP="00A53DE2">
      <w:pPr>
        <w:ind w:left="432"/>
        <w:outlineLvl w:val="0"/>
        <w:rPr>
          <w:bCs w:val="0"/>
          <w:szCs w:val="20"/>
          <w:lang w:eastAsia="en-GB"/>
        </w:rPr>
      </w:pPr>
    </w:p>
    <w:p w14:paraId="70655D8A" w14:textId="77777777" w:rsidR="00A53DE2" w:rsidRPr="00686F5F" w:rsidRDefault="00A53DE2" w:rsidP="00A53DE2">
      <w:pPr>
        <w:ind w:left="432"/>
        <w:outlineLvl w:val="0"/>
        <w:rPr>
          <w:bCs w:val="0"/>
          <w:szCs w:val="20"/>
          <w:lang w:eastAsia="en-GB"/>
        </w:rPr>
      </w:pPr>
    </w:p>
    <w:p w14:paraId="7BC27D67" w14:textId="77777777" w:rsidR="00A53DE2" w:rsidRDefault="00A53DE2" w:rsidP="00A53DE2">
      <w:pPr>
        <w:spacing w:line="360" w:lineRule="auto"/>
        <w:ind w:left="2160" w:firstLine="720"/>
        <w:outlineLvl w:val="2"/>
        <w:rPr>
          <w:b/>
        </w:rPr>
      </w:pPr>
      <w:bookmarkStart w:id="13" w:name="_Ref87270191"/>
      <w:proofErr w:type="gramStart"/>
      <w:r>
        <w:rPr>
          <w:b/>
        </w:rPr>
        <w:t>6.4  Appendices</w:t>
      </w:r>
      <w:proofErr w:type="gramEnd"/>
    </w:p>
    <w:p w14:paraId="6F51C570" w14:textId="77777777" w:rsidR="00A53DE2" w:rsidRDefault="00A53DE2" w:rsidP="00A53DE2">
      <w:pPr>
        <w:spacing w:line="360" w:lineRule="auto"/>
        <w:ind w:left="2160" w:firstLine="720"/>
        <w:outlineLvl w:val="2"/>
        <w:rPr>
          <w:b/>
        </w:rPr>
      </w:pPr>
    </w:p>
    <w:p w14:paraId="2F103E9E" w14:textId="77777777" w:rsidR="00A53DE2" w:rsidRDefault="00A53DE2" w:rsidP="00A53DE2">
      <w:pPr>
        <w:spacing w:line="360" w:lineRule="auto"/>
        <w:outlineLvl w:val="2"/>
        <w:rPr>
          <w:b/>
        </w:rPr>
      </w:pPr>
      <w:proofErr w:type="spellStart"/>
      <w:r w:rsidRPr="00686F5F">
        <w:rPr>
          <w:b/>
        </w:rPr>
        <w:t>Appendi</w:t>
      </w:r>
      <w:r>
        <w:rPr>
          <w:b/>
        </w:rPr>
        <w:t>ce</w:t>
      </w:r>
      <w:proofErr w:type="spellEnd"/>
      <w:r w:rsidRPr="00686F5F">
        <w:rPr>
          <w:b/>
        </w:rPr>
        <w:t xml:space="preserve"> </w:t>
      </w:r>
      <w:r>
        <w:rPr>
          <w:b/>
        </w:rPr>
        <w:t>1</w:t>
      </w:r>
      <w:r w:rsidRPr="00686F5F">
        <w:rPr>
          <w:b/>
        </w:rPr>
        <w:t xml:space="preserve"> – Template Warning Letter</w:t>
      </w:r>
      <w:bookmarkEnd w:id="13"/>
    </w:p>
    <w:p w14:paraId="1D3F00A7" w14:textId="77777777" w:rsidR="00A53DE2" w:rsidRDefault="00A53DE2" w:rsidP="00A53DE2">
      <w:pPr>
        <w:spacing w:line="360" w:lineRule="auto"/>
        <w:outlineLvl w:val="2"/>
        <w:rPr>
          <w:b/>
        </w:rPr>
      </w:pPr>
    </w:p>
    <w:p w14:paraId="1508C490" w14:textId="77777777" w:rsidR="00A53DE2" w:rsidRDefault="00A53DE2" w:rsidP="00A53DE2">
      <w:pPr>
        <w:spacing w:line="360" w:lineRule="auto"/>
        <w:outlineLvl w:val="2"/>
        <w:rPr>
          <w:b/>
        </w:rPr>
      </w:pPr>
      <w:r>
        <w:rPr>
          <w:b/>
        </w:rPr>
        <w:t>Insert link</w:t>
      </w:r>
    </w:p>
    <w:p w14:paraId="0C697D24" w14:textId="77777777" w:rsidR="00A53DE2" w:rsidRPr="00686F5F" w:rsidRDefault="00A53DE2" w:rsidP="00A53DE2">
      <w:pPr>
        <w:spacing w:line="360" w:lineRule="auto"/>
        <w:outlineLvl w:val="2"/>
        <w:rPr>
          <w:b/>
        </w:rPr>
      </w:pPr>
    </w:p>
    <w:bookmarkStart w:id="14" w:name="_MON_1697881561"/>
    <w:bookmarkEnd w:id="14"/>
    <w:p w14:paraId="45F283BA" w14:textId="77777777" w:rsidR="00A53DE2" w:rsidRPr="00686F5F" w:rsidRDefault="00A53DE2" w:rsidP="00A53DE2">
      <w:pPr>
        <w:ind w:left="720"/>
        <w:contextualSpacing/>
      </w:pPr>
      <w:r w:rsidRPr="00686F5F">
        <w:rPr>
          <w:noProof/>
        </w:rPr>
        <w:object w:dxaOrig="1596" w:dyaOrig="1033" w14:anchorId="07C21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pt;height:51.5pt" o:ole="">
            <v:imagedata r:id="rId6" o:title=""/>
          </v:shape>
          <o:OLEObject Type="Embed" ProgID="Word.Document.12" ShapeID="_x0000_i1025" DrawAspect="Icon" ObjectID="_1720446381" r:id="rId7">
            <o:FieldCodes>\s</o:FieldCodes>
          </o:OLEObject>
        </w:object>
      </w:r>
      <w:r w:rsidRPr="00686F5F">
        <w:br/>
      </w:r>
    </w:p>
    <w:p w14:paraId="03B45283" w14:textId="77777777" w:rsidR="00A53DE2" w:rsidRDefault="00A53DE2" w:rsidP="00A53DE2">
      <w:pPr>
        <w:spacing w:line="360" w:lineRule="auto"/>
        <w:outlineLvl w:val="2"/>
        <w:rPr>
          <w:b/>
        </w:rPr>
      </w:pPr>
      <w:bookmarkStart w:id="15" w:name="_Ref87270417"/>
      <w:proofErr w:type="spellStart"/>
      <w:r w:rsidRPr="00686F5F">
        <w:rPr>
          <w:b/>
        </w:rPr>
        <w:t>Appendi</w:t>
      </w:r>
      <w:proofErr w:type="spellEnd"/>
      <w:r w:rsidRPr="00686F5F">
        <w:rPr>
          <w:b/>
        </w:rPr>
        <w:t xml:space="preserve"> </w:t>
      </w:r>
      <w:r>
        <w:rPr>
          <w:b/>
        </w:rPr>
        <w:t>2</w:t>
      </w:r>
      <w:r w:rsidRPr="00686F5F">
        <w:rPr>
          <w:b/>
        </w:rPr>
        <w:t xml:space="preserve"> – Template good behaviour guidance agreement</w:t>
      </w:r>
      <w:bookmarkEnd w:id="15"/>
    </w:p>
    <w:p w14:paraId="37CE1A32" w14:textId="77777777" w:rsidR="00A53DE2" w:rsidRDefault="00A53DE2" w:rsidP="00A53DE2">
      <w:pPr>
        <w:spacing w:line="360" w:lineRule="auto"/>
        <w:outlineLvl w:val="2"/>
        <w:rPr>
          <w:b/>
        </w:rPr>
      </w:pPr>
    </w:p>
    <w:p w14:paraId="78CFC940" w14:textId="77777777" w:rsidR="00A53DE2" w:rsidRPr="00686F5F" w:rsidRDefault="00A53DE2" w:rsidP="00A53DE2">
      <w:pPr>
        <w:spacing w:line="360" w:lineRule="auto"/>
        <w:outlineLvl w:val="2"/>
        <w:rPr>
          <w:b/>
        </w:rPr>
      </w:pPr>
      <w:r>
        <w:rPr>
          <w:b/>
        </w:rPr>
        <w:t>Insert link</w:t>
      </w:r>
    </w:p>
    <w:p w14:paraId="56689B54" w14:textId="77777777" w:rsidR="00A53DE2" w:rsidRPr="00686F5F" w:rsidRDefault="00A53DE2" w:rsidP="00A53DE2">
      <w:pPr>
        <w:ind w:left="432"/>
        <w:outlineLvl w:val="0"/>
        <w:rPr>
          <w:rFonts w:cs="Arial"/>
          <w:b/>
          <w:color w:val="44546A" w:themeColor="text2"/>
          <w:kern w:val="32"/>
          <w:sz w:val="32"/>
          <w:szCs w:val="32"/>
        </w:rPr>
      </w:pPr>
    </w:p>
    <w:bookmarkStart w:id="16" w:name="_MON_1697881714"/>
    <w:bookmarkEnd w:id="16"/>
    <w:p w14:paraId="061BC1C2" w14:textId="77777777" w:rsidR="00A53DE2" w:rsidRPr="00686F5F" w:rsidRDefault="00A53DE2" w:rsidP="00A53DE2">
      <w:pPr>
        <w:ind w:firstLine="720"/>
      </w:pPr>
      <w:r w:rsidRPr="00686F5F">
        <w:rPr>
          <w:noProof/>
        </w:rPr>
        <w:object w:dxaOrig="1596" w:dyaOrig="1033" w14:anchorId="3BF6F0BF">
          <v:shape id="_x0000_i1026" type="#_x0000_t75" alt="" style="width:80pt;height:51.5pt" o:ole="">
            <v:imagedata r:id="rId8" o:title=""/>
          </v:shape>
          <o:OLEObject Type="Embed" ProgID="Word.Document.12" ShapeID="_x0000_i1026" DrawAspect="Icon" ObjectID="_1720446382" r:id="rId9">
            <o:FieldCodes>\s</o:FieldCodes>
          </o:OLEObject>
        </w:object>
      </w:r>
    </w:p>
    <w:p w14:paraId="71E4D397" w14:textId="77777777" w:rsidR="00A53DE2" w:rsidRDefault="00A53DE2" w:rsidP="00A53DE2">
      <w:pPr>
        <w:pStyle w:val="Heading1"/>
      </w:pPr>
      <w:r>
        <w:rPr>
          <w:lang w:eastAsia="en-GB"/>
        </w:rPr>
        <w:br w:type="page"/>
      </w:r>
    </w:p>
    <w:p w14:paraId="729636D2" w14:textId="77777777" w:rsidR="007A613C" w:rsidRDefault="007A613C"/>
    <w:sectPr w:rsidR="007A6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F55"/>
    <w:multiLevelType w:val="multilevel"/>
    <w:tmpl w:val="144055C2"/>
    <w:lvl w:ilvl="0">
      <w:start w:val="1"/>
      <w:numFmt w:val="decimal"/>
      <w:lvlText w:val="%1"/>
      <w:lvlJc w:val="left"/>
      <w:pPr>
        <w:ind w:left="432" w:hanging="432"/>
      </w:pPr>
      <w:rPr>
        <w:rFonts w:hint="default"/>
      </w:rPr>
    </w:lvl>
    <w:lvl w:ilvl="1">
      <w:start w:val="1"/>
      <w:numFmt w:val="decimal"/>
      <w:lvlText w:val="%1.%2"/>
      <w:lvlJc w:val="left"/>
      <w:pPr>
        <w:ind w:left="2561" w:hanging="576"/>
      </w:pPr>
      <w:rPr>
        <w:rFonts w:hint="default"/>
        <w:color w:val="E7E6E6" w:themeColor="background2"/>
        <w:sz w:val="24"/>
      </w:rPr>
    </w:lvl>
    <w:lvl w:ilvl="2">
      <w:start w:val="1"/>
      <w:numFmt w:val="decimal"/>
      <w:lvlText w:val="%1.%2.%3"/>
      <w:lvlJc w:val="left"/>
      <w:pPr>
        <w:ind w:left="720" w:hanging="720"/>
      </w:pPr>
      <w:rPr>
        <w:rFonts w:hint="default"/>
        <w:b w:val="0"/>
        <w:strike w:val="0"/>
        <w:color w:val="000000" w:themeColor="text1"/>
        <w:sz w:val="24"/>
        <w:szCs w:val="24"/>
      </w:rPr>
    </w:lvl>
    <w:lvl w:ilvl="3">
      <w:start w:val="1"/>
      <w:numFmt w:val="lowerLetter"/>
      <w:lvlText w:val="%4)"/>
      <w:lvlJc w:val="left"/>
      <w:pPr>
        <w:ind w:left="864" w:hanging="864"/>
      </w:pPr>
      <w:rPr>
        <w:rFonts w:ascii="Arial" w:eastAsia="Times New Roman" w:hAnsi="Arial" w:cs="Times New Roman" w:hint="default"/>
        <w:b w:val="0"/>
        <w:color w:val="000000" w:themeColor="text1"/>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6245F7"/>
    <w:multiLevelType w:val="multilevel"/>
    <w:tmpl w:val="944EE406"/>
    <w:lvl w:ilvl="0">
      <w:start w:val="1"/>
      <w:numFmt w:val="decimal"/>
      <w:lvlText w:val="%1."/>
      <w:legacy w:legacy="1" w:legacySpace="0" w:legacyIndent="709"/>
      <w:lvlJc w:val="left"/>
      <w:pPr>
        <w:ind w:left="709" w:hanging="709"/>
      </w:pPr>
      <w:rPr>
        <w:rFonts w:hint="default"/>
        <w:b w:val="0"/>
        <w:i w:val="0"/>
        <w:sz w:val="32"/>
      </w:rPr>
    </w:lvl>
    <w:lvl w:ilvl="1">
      <w:start w:val="1"/>
      <w:numFmt w:val="bullet"/>
      <w:lvlText w:val=""/>
      <w:lvlJc w:val="left"/>
      <w:pPr>
        <w:ind w:left="1419" w:hanging="709"/>
      </w:pPr>
      <w:rPr>
        <w:rFonts w:ascii="Symbol" w:hAnsi="Symbol" w:hint="default"/>
        <w:b w:val="0"/>
        <w:i w:val="0"/>
        <w:sz w:val="24"/>
      </w:rPr>
    </w:lvl>
    <w:lvl w:ilvl="2">
      <w:start w:val="1"/>
      <w:numFmt w:val="bullet"/>
      <w:lvlText w:val=""/>
      <w:lvlJc w:val="left"/>
      <w:pPr>
        <w:ind w:left="2410" w:hanging="992"/>
      </w:pPr>
      <w:rPr>
        <w:rFonts w:ascii="Symbol" w:hAnsi="Symbol" w:hint="default"/>
        <w:color w:val="auto"/>
        <w:sz w:val="24"/>
      </w:rPr>
    </w:lvl>
    <w:lvl w:ilvl="3">
      <w:start w:val="1"/>
      <w:numFmt w:val="decimal"/>
      <w:lvlText w:val="%1.%2.%3.%4"/>
      <w:legacy w:legacy="1" w:legacySpace="0" w:legacyIndent="1276"/>
      <w:lvlJc w:val="left"/>
      <w:pPr>
        <w:ind w:left="3686" w:hanging="1276"/>
      </w:pPr>
      <w:rPr>
        <w:rFonts w:hint="default"/>
        <w:sz w:val="24"/>
      </w:rPr>
    </w:lvl>
    <w:lvl w:ilvl="4">
      <w:start w:val="1"/>
      <w:numFmt w:val="decimal"/>
      <w:lvlText w:val="%1.%2.%3.%4.%5"/>
      <w:legacy w:legacy="1" w:legacySpace="0" w:legacyIndent="1559"/>
      <w:lvlJc w:val="left"/>
      <w:pPr>
        <w:ind w:left="5245" w:hanging="1559"/>
      </w:pPr>
      <w:rPr>
        <w:rFonts w:hint="default"/>
        <w:sz w:val="20"/>
      </w:rPr>
    </w:lvl>
    <w:lvl w:ilvl="5">
      <w:start w:val="1"/>
      <w:numFmt w:val="lowerLetter"/>
      <w:lvlText w:val="(%6)"/>
      <w:legacy w:legacy="1" w:legacySpace="0" w:legacyIndent="709"/>
      <w:lvlJc w:val="left"/>
      <w:pPr>
        <w:ind w:left="5954" w:hanging="709"/>
      </w:pPr>
      <w:rPr>
        <w:rFonts w:hint="default"/>
        <w:sz w:val="20"/>
      </w:rPr>
    </w:lvl>
    <w:lvl w:ilvl="6">
      <w:start w:val="1"/>
      <w:numFmt w:val="lowerRoman"/>
      <w:lvlText w:val="(%7)"/>
      <w:legacy w:legacy="1" w:legacySpace="0" w:legacyIndent="709"/>
      <w:lvlJc w:val="left"/>
      <w:pPr>
        <w:ind w:left="6663" w:hanging="709"/>
      </w:pPr>
      <w:rPr>
        <w:rFonts w:hint="default"/>
        <w:sz w:val="24"/>
      </w:rPr>
    </w:lvl>
    <w:lvl w:ilvl="7">
      <w:start w:val="1"/>
      <w:numFmt w:val="upperLetter"/>
      <w:lvlText w:val="(%8)"/>
      <w:legacy w:legacy="1" w:legacySpace="0" w:legacyIndent="709"/>
      <w:lvlJc w:val="left"/>
      <w:pPr>
        <w:ind w:left="7372" w:hanging="709"/>
      </w:pPr>
      <w:rPr>
        <w:rFonts w:hint="default"/>
        <w:sz w:val="24"/>
      </w:rPr>
    </w:lvl>
    <w:lvl w:ilvl="8">
      <w:start w:val="1"/>
      <w:numFmt w:val="none"/>
      <w:lvlText w:val="·"/>
      <w:legacy w:legacy="1" w:legacySpace="0" w:legacyIndent="709"/>
      <w:lvlJc w:val="left"/>
      <w:pPr>
        <w:ind w:left="8081" w:hanging="709"/>
      </w:pPr>
      <w:rPr>
        <w:rFonts w:ascii="Symbol" w:hAnsi="Symbol" w:hint="default"/>
        <w:sz w:val="24"/>
      </w:rPr>
    </w:lvl>
  </w:abstractNum>
  <w:abstractNum w:abstractNumId="2" w15:restartNumberingAfterBreak="0">
    <w:nsid w:val="24284B07"/>
    <w:multiLevelType w:val="hybridMultilevel"/>
    <w:tmpl w:val="32E6EC86"/>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3" w15:restartNumberingAfterBreak="0">
    <w:nsid w:val="244E0BD9"/>
    <w:multiLevelType w:val="multilevel"/>
    <w:tmpl w:val="B224C5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097"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strike w:val="0"/>
        <w:color w:val="000000" w:themeColor="text1"/>
        <w:sz w:val="24"/>
        <w:szCs w:val="24"/>
      </w:rPr>
    </w:lvl>
    <w:lvl w:ilvl="3">
      <w:start w:val="1"/>
      <w:numFmt w:val="decimal"/>
      <w:pStyle w:val="Heading4"/>
      <w:lvlText w:val="%1.%2.%3.%4"/>
      <w:lvlJc w:val="left"/>
      <w:pPr>
        <w:ind w:left="864" w:hanging="864"/>
      </w:pPr>
      <w:rPr>
        <w:rFonts w:hint="default"/>
        <w:b w:val="0"/>
        <w:color w:val="000000" w:themeColor="text1"/>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E567B0B"/>
    <w:multiLevelType w:val="multilevel"/>
    <w:tmpl w:val="329A9B08"/>
    <w:lvl w:ilvl="0">
      <w:start w:val="6"/>
      <w:numFmt w:val="decimal"/>
      <w:lvlText w:val="%1"/>
      <w:lvlJc w:val="left"/>
      <w:pPr>
        <w:ind w:left="384" w:hanging="384"/>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4F011363"/>
    <w:multiLevelType w:val="hybridMultilevel"/>
    <w:tmpl w:val="F4BA2EB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62A5120D"/>
    <w:multiLevelType w:val="hybridMultilevel"/>
    <w:tmpl w:val="37D2D486"/>
    <w:lvl w:ilvl="0" w:tplc="6330A3D4">
      <w:start w:val="1"/>
      <w:numFmt w:val="lowerLetter"/>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E2"/>
    <w:rsid w:val="007A613C"/>
    <w:rsid w:val="00A5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8D1A"/>
  <w15:chartTrackingRefBased/>
  <w15:docId w15:val="{5CF1020C-0C07-40A7-8A23-17976A43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E2"/>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1"/>
    <w:qFormat/>
    <w:rsid w:val="00A53DE2"/>
    <w:pPr>
      <w:numPr>
        <w:numId w:val="1"/>
      </w:numPr>
      <w:outlineLvl w:val="0"/>
    </w:pPr>
    <w:rPr>
      <w:rFonts w:cs="Arial"/>
      <w:b/>
      <w:color w:val="44546A" w:themeColor="text2"/>
      <w:kern w:val="32"/>
      <w:sz w:val="32"/>
      <w:szCs w:val="32"/>
    </w:rPr>
  </w:style>
  <w:style w:type="paragraph" w:styleId="Heading2">
    <w:name w:val="heading 2"/>
    <w:basedOn w:val="Normal"/>
    <w:next w:val="Normal"/>
    <w:link w:val="Heading2Char"/>
    <w:uiPriority w:val="1"/>
    <w:unhideWhenUsed/>
    <w:qFormat/>
    <w:rsid w:val="00A53DE2"/>
    <w:pPr>
      <w:numPr>
        <w:ilvl w:val="1"/>
        <w:numId w:val="1"/>
      </w:numPr>
      <w:spacing w:line="360" w:lineRule="auto"/>
      <w:ind w:left="2562"/>
      <w:outlineLvl w:val="1"/>
    </w:pPr>
    <w:rPr>
      <w:b/>
      <w:iCs/>
      <w:color w:val="E7E6E6" w:themeColor="background2"/>
      <w:sz w:val="28"/>
      <w:szCs w:val="28"/>
    </w:rPr>
  </w:style>
  <w:style w:type="paragraph" w:styleId="Heading3">
    <w:name w:val="heading 3"/>
    <w:basedOn w:val="Normal"/>
    <w:next w:val="Normal"/>
    <w:link w:val="Heading3Char"/>
    <w:unhideWhenUsed/>
    <w:qFormat/>
    <w:rsid w:val="00A53DE2"/>
    <w:pPr>
      <w:numPr>
        <w:ilvl w:val="2"/>
        <w:numId w:val="1"/>
      </w:numPr>
      <w:spacing w:line="360" w:lineRule="auto"/>
      <w:outlineLvl w:val="2"/>
    </w:pPr>
  </w:style>
  <w:style w:type="paragraph" w:styleId="Heading4">
    <w:name w:val="heading 4"/>
    <w:basedOn w:val="Normal"/>
    <w:next w:val="Normal"/>
    <w:link w:val="Heading4Char"/>
    <w:unhideWhenUsed/>
    <w:qFormat/>
    <w:rsid w:val="00A53DE2"/>
    <w:pPr>
      <w:keepNext/>
      <w:keepLines/>
      <w:numPr>
        <w:ilvl w:val="3"/>
        <w:numId w:val="1"/>
      </w:numPr>
      <w:spacing w:before="200" w:line="360" w:lineRule="auto"/>
      <w:outlineLvl w:val="3"/>
    </w:pPr>
    <w:rPr>
      <w:rFonts w:eastAsiaTheme="majorEastAsia" w:cstheme="majorBidi"/>
      <w:bCs w:val="0"/>
      <w:iCs/>
      <w:color w:val="000000" w:themeColor="text1"/>
      <w:lang w:eastAsia="en-GB"/>
    </w:rPr>
  </w:style>
  <w:style w:type="paragraph" w:styleId="Heading5">
    <w:name w:val="heading 5"/>
    <w:basedOn w:val="Normal"/>
    <w:next w:val="Normal"/>
    <w:link w:val="Heading5Char"/>
    <w:unhideWhenUsed/>
    <w:qFormat/>
    <w:rsid w:val="00A53DE2"/>
    <w:pPr>
      <w:keepNext/>
      <w:keepLines/>
      <w:numPr>
        <w:ilvl w:val="4"/>
        <w:numId w:val="1"/>
      </w:numPr>
      <w:spacing w:before="200" w:line="360" w:lineRule="auto"/>
      <w:outlineLvl w:val="4"/>
    </w:pPr>
    <w:rPr>
      <w:rFonts w:eastAsiaTheme="majorEastAsia" w:cs="Arial"/>
      <w:color w:val="000000" w:themeColor="text1"/>
      <w:lang w:eastAsia="en-GB"/>
    </w:rPr>
  </w:style>
  <w:style w:type="paragraph" w:styleId="Heading6">
    <w:name w:val="heading 6"/>
    <w:basedOn w:val="Normal"/>
    <w:next w:val="Normal"/>
    <w:link w:val="Heading6Char"/>
    <w:unhideWhenUsed/>
    <w:qFormat/>
    <w:rsid w:val="00A53DE2"/>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A53DE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53DE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53DE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3DE2"/>
    <w:rPr>
      <w:rFonts w:ascii="Arial" w:eastAsia="Times New Roman" w:hAnsi="Arial" w:cs="Arial"/>
      <w:b/>
      <w:bCs/>
      <w:color w:val="44546A" w:themeColor="text2"/>
      <w:kern w:val="32"/>
      <w:sz w:val="32"/>
      <w:szCs w:val="32"/>
    </w:rPr>
  </w:style>
  <w:style w:type="character" w:customStyle="1" w:styleId="Heading2Char">
    <w:name w:val="Heading 2 Char"/>
    <w:basedOn w:val="DefaultParagraphFont"/>
    <w:link w:val="Heading2"/>
    <w:uiPriority w:val="1"/>
    <w:rsid w:val="00A53DE2"/>
    <w:rPr>
      <w:rFonts w:ascii="Arial" w:eastAsia="Times New Roman" w:hAnsi="Arial" w:cs="Times New Roman"/>
      <w:b/>
      <w:bCs/>
      <w:iCs/>
      <w:color w:val="E7E6E6" w:themeColor="background2"/>
      <w:sz w:val="28"/>
      <w:szCs w:val="28"/>
    </w:rPr>
  </w:style>
  <w:style w:type="character" w:customStyle="1" w:styleId="Heading3Char">
    <w:name w:val="Heading 3 Char"/>
    <w:basedOn w:val="DefaultParagraphFont"/>
    <w:link w:val="Heading3"/>
    <w:rsid w:val="00A53DE2"/>
    <w:rPr>
      <w:rFonts w:ascii="Arial" w:eastAsia="Times New Roman" w:hAnsi="Arial" w:cs="Times New Roman"/>
      <w:bCs/>
      <w:sz w:val="24"/>
      <w:szCs w:val="26"/>
    </w:rPr>
  </w:style>
  <w:style w:type="character" w:customStyle="1" w:styleId="Heading4Char">
    <w:name w:val="Heading 4 Char"/>
    <w:basedOn w:val="DefaultParagraphFont"/>
    <w:link w:val="Heading4"/>
    <w:rsid w:val="00A53DE2"/>
    <w:rPr>
      <w:rFonts w:ascii="Arial" w:eastAsiaTheme="majorEastAsia" w:hAnsi="Arial" w:cstheme="majorBidi"/>
      <w:iCs/>
      <w:color w:val="000000" w:themeColor="text1"/>
      <w:sz w:val="24"/>
      <w:szCs w:val="26"/>
      <w:lang w:eastAsia="en-GB"/>
    </w:rPr>
  </w:style>
  <w:style w:type="character" w:customStyle="1" w:styleId="Heading5Char">
    <w:name w:val="Heading 5 Char"/>
    <w:basedOn w:val="DefaultParagraphFont"/>
    <w:link w:val="Heading5"/>
    <w:rsid w:val="00A53DE2"/>
    <w:rPr>
      <w:rFonts w:ascii="Arial" w:eastAsiaTheme="majorEastAsia" w:hAnsi="Arial" w:cs="Arial"/>
      <w:bCs/>
      <w:color w:val="000000" w:themeColor="text1"/>
      <w:sz w:val="24"/>
      <w:szCs w:val="26"/>
      <w:lang w:eastAsia="en-GB"/>
    </w:rPr>
  </w:style>
  <w:style w:type="character" w:customStyle="1" w:styleId="Heading6Char">
    <w:name w:val="Heading 6 Char"/>
    <w:basedOn w:val="DefaultParagraphFont"/>
    <w:link w:val="Heading6"/>
    <w:rsid w:val="00A53DE2"/>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A53DE2"/>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A53DE2"/>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A53DE2"/>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link w:val="ListParagraphChar"/>
    <w:uiPriority w:val="34"/>
    <w:qFormat/>
    <w:rsid w:val="00A53DE2"/>
    <w:pPr>
      <w:ind w:left="720"/>
      <w:contextualSpacing/>
    </w:pPr>
  </w:style>
  <w:style w:type="character" w:customStyle="1" w:styleId="ListParagraphChar">
    <w:name w:val="List Paragraph Char"/>
    <w:basedOn w:val="DefaultParagraphFont"/>
    <w:link w:val="ListParagraph"/>
    <w:uiPriority w:val="34"/>
    <w:rsid w:val="00A53DE2"/>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ww.bma.org.uk/advice-and-support/gp-practices/managing-your-practice-list/removing-patients-from-your-practice-li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1459</Words>
  <Characters>8320</Characters>
  <Application>Microsoft Office Word</Application>
  <DocSecurity>0</DocSecurity>
  <Lines>69</Lines>
  <Paragraphs>19</Paragraphs>
  <ScaleCrop>false</ScaleCrop>
  <Company>NECS NHS</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Donna (NHS DERBY AND DERBYSHIRE ICB - 15M)</dc:creator>
  <cp:keywords/>
  <dc:description/>
  <cp:lastModifiedBy>ALLEN, Donna (NHS DERBY AND DERBYSHIRE ICB - 15M)</cp:lastModifiedBy>
  <cp:revision>1</cp:revision>
  <dcterms:created xsi:type="dcterms:W3CDTF">2022-07-27T15:57:00Z</dcterms:created>
  <dcterms:modified xsi:type="dcterms:W3CDTF">2022-07-27T16:00:00Z</dcterms:modified>
</cp:coreProperties>
</file>