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071EC" w14:textId="28B856EA" w:rsidR="000A5B91" w:rsidRPr="002C1079" w:rsidRDefault="004A39B4" w:rsidP="0071135A">
      <w:pPr>
        <w:shd w:val="clear" w:color="auto" w:fill="FFFFFF"/>
        <w:spacing w:after="150"/>
        <w:textAlignment w:val="baseline"/>
        <w:outlineLvl w:val="0"/>
        <w:rPr>
          <w:rFonts w:eastAsia="Times New Roman" w:cs="Calibri"/>
          <w:color w:val="000000"/>
          <w:kern w:val="36"/>
          <w:sz w:val="44"/>
          <w:szCs w:val="44"/>
          <w:lang w:eastAsia="en-GB"/>
        </w:rPr>
      </w:pPr>
      <w:bookmarkStart w:id="0" w:name="_GoBack"/>
      <w:bookmarkEnd w:id="0"/>
      <w:r>
        <w:rPr>
          <w:rFonts w:eastAsia="Times New Roman" w:cs="Calibri"/>
          <w:color w:val="000000"/>
          <w:kern w:val="36"/>
          <w:sz w:val="44"/>
          <w:szCs w:val="44"/>
          <w:lang w:eastAsia="en-GB"/>
        </w:rPr>
        <w:t xml:space="preserve">10 </w:t>
      </w:r>
      <w:r w:rsidR="000F6140" w:rsidRPr="002C1079">
        <w:rPr>
          <w:rFonts w:eastAsia="Times New Roman" w:cs="Calibri"/>
          <w:color w:val="000000"/>
          <w:kern w:val="36"/>
          <w:sz w:val="44"/>
          <w:szCs w:val="44"/>
          <w:lang w:eastAsia="en-GB"/>
        </w:rPr>
        <w:t xml:space="preserve">Blog </w:t>
      </w:r>
      <w:r>
        <w:rPr>
          <w:rFonts w:eastAsia="Times New Roman" w:cs="Calibri"/>
          <w:color w:val="000000"/>
          <w:kern w:val="36"/>
          <w:sz w:val="44"/>
          <w:szCs w:val="44"/>
          <w:lang w:eastAsia="en-GB"/>
        </w:rPr>
        <w:t>Ten</w:t>
      </w:r>
      <w:r w:rsidR="000A5B91" w:rsidRPr="002C1079">
        <w:rPr>
          <w:rFonts w:eastAsia="Times New Roman" w:cs="Calibri"/>
          <w:color w:val="000000"/>
          <w:kern w:val="36"/>
          <w:sz w:val="44"/>
          <w:szCs w:val="44"/>
          <w:lang w:eastAsia="en-GB"/>
        </w:rPr>
        <w:t xml:space="preserve">, </w:t>
      </w:r>
      <w:r w:rsidR="0055221E">
        <w:rPr>
          <w:rFonts w:eastAsia="Times New Roman" w:cs="Calibri"/>
          <w:color w:val="000000"/>
          <w:kern w:val="36"/>
          <w:sz w:val="44"/>
          <w:szCs w:val="44"/>
          <w:lang w:eastAsia="en-GB"/>
        </w:rPr>
        <w:t>E</w:t>
      </w:r>
      <w:r w:rsidR="009D074A" w:rsidRPr="002C1079">
        <w:rPr>
          <w:rFonts w:eastAsia="Times New Roman" w:cs="Calibri"/>
          <w:color w:val="000000"/>
          <w:kern w:val="36"/>
          <w:sz w:val="44"/>
          <w:szCs w:val="44"/>
          <w:lang w:eastAsia="en-GB"/>
        </w:rPr>
        <w:t xml:space="preserve">rasure </w:t>
      </w:r>
      <w:r w:rsidR="0055221E">
        <w:rPr>
          <w:rFonts w:eastAsia="Times New Roman" w:cs="Calibri"/>
          <w:color w:val="000000"/>
          <w:kern w:val="36"/>
          <w:sz w:val="44"/>
          <w:szCs w:val="44"/>
          <w:lang w:eastAsia="en-GB"/>
        </w:rPr>
        <w:t xml:space="preserve">and Portability </w:t>
      </w:r>
      <w:r w:rsidR="009D074A" w:rsidRPr="002C1079">
        <w:rPr>
          <w:rFonts w:eastAsia="Times New Roman" w:cs="Calibri"/>
          <w:color w:val="000000"/>
          <w:kern w:val="36"/>
          <w:sz w:val="44"/>
          <w:szCs w:val="44"/>
          <w:lang w:eastAsia="en-GB"/>
        </w:rPr>
        <w:t>– NOT!</w:t>
      </w:r>
    </w:p>
    <w:p w14:paraId="672A6659" w14:textId="42EB2926" w:rsidR="009D074A" w:rsidRDefault="009D074A" w:rsidP="0071135A">
      <w:pPr>
        <w:rPr>
          <w:rFonts w:cs="Calibri"/>
          <w:sz w:val="32"/>
          <w:szCs w:val="32"/>
        </w:rPr>
      </w:pPr>
    </w:p>
    <w:p w14:paraId="52965DFC" w14:textId="7B09D23A" w:rsidR="0055221E" w:rsidRPr="0055221E" w:rsidRDefault="0055221E" w:rsidP="0071135A">
      <w:pPr>
        <w:rPr>
          <w:rFonts w:cs="Calibri"/>
          <w:b/>
          <w:sz w:val="32"/>
          <w:szCs w:val="32"/>
          <w:u w:val="single"/>
        </w:rPr>
      </w:pPr>
      <w:r w:rsidRPr="0055221E">
        <w:rPr>
          <w:rFonts w:cs="Calibri"/>
          <w:b/>
          <w:sz w:val="32"/>
          <w:szCs w:val="32"/>
          <w:u w:val="single"/>
        </w:rPr>
        <w:t>Article 17, the right to be forgotten</w:t>
      </w:r>
    </w:p>
    <w:p w14:paraId="22A127A9" w14:textId="77777777" w:rsidR="00D11C5C" w:rsidRPr="002C1079" w:rsidRDefault="00D11C5C" w:rsidP="0071135A">
      <w:pPr>
        <w:rPr>
          <w:rFonts w:cs="Calibri"/>
          <w:sz w:val="32"/>
          <w:szCs w:val="32"/>
        </w:rPr>
      </w:pPr>
      <w:r w:rsidRPr="002C1079">
        <w:rPr>
          <w:rFonts w:cs="Calibri"/>
          <w:sz w:val="32"/>
          <w:szCs w:val="32"/>
        </w:rPr>
        <w:t>Most of you will have heard of the right “to be forgotten”, it was splashed across the news a couple of years ago. Its enshrined in Article 17 of GDPR</w:t>
      </w:r>
      <w:r w:rsidR="006A61BE" w:rsidRPr="002C1079">
        <w:rPr>
          <w:rFonts w:cs="Calibri"/>
          <w:sz w:val="32"/>
          <w:szCs w:val="32"/>
        </w:rPr>
        <w:t xml:space="preserve">, now </w:t>
      </w:r>
      <w:r w:rsidRPr="002C1079">
        <w:rPr>
          <w:rFonts w:cs="Calibri"/>
          <w:sz w:val="32"/>
          <w:szCs w:val="32"/>
        </w:rPr>
        <w:t>you’re probably beginning to think “he can’t be serious, I know I voted out because the EU is bonkers but they can’t be so bonkers as to allow patients to erase their own health records, that’s as bonkers as even the most bonker</w:t>
      </w:r>
      <w:r w:rsidR="006A61BE" w:rsidRPr="002C1079">
        <w:rPr>
          <w:rFonts w:cs="Calibri"/>
          <w:sz w:val="32"/>
          <w:szCs w:val="32"/>
        </w:rPr>
        <w:t>s bonkers?</w:t>
      </w:r>
      <w:r w:rsidRPr="002C1079">
        <w:rPr>
          <w:rFonts w:cs="Calibri"/>
          <w:sz w:val="32"/>
          <w:szCs w:val="32"/>
        </w:rPr>
        <w:t>!”</w:t>
      </w:r>
    </w:p>
    <w:p w14:paraId="05E3B24A" w14:textId="77777777" w:rsidR="0049511A" w:rsidRPr="0049511A" w:rsidRDefault="006A61BE" w:rsidP="0049511A">
      <w:pPr>
        <w:pStyle w:val="Heading1"/>
        <w:rPr>
          <w:rFonts w:asciiTheme="minorHAnsi" w:hAnsiTheme="minorHAnsi" w:cstheme="minorHAnsi"/>
          <w:u w:val="single"/>
        </w:rPr>
      </w:pPr>
      <w:r w:rsidRPr="0049511A">
        <w:rPr>
          <w:rFonts w:asciiTheme="minorHAnsi" w:hAnsiTheme="minorHAnsi" w:cstheme="minorHAnsi"/>
          <w:u w:val="single"/>
        </w:rPr>
        <w:t>“You cannot be serious?”</w:t>
      </w:r>
    </w:p>
    <w:p w14:paraId="3720D594" w14:textId="44C99EF3" w:rsidR="006A61BE" w:rsidRPr="002C1079" w:rsidRDefault="006A61BE" w:rsidP="0049511A">
      <w:pPr>
        <w:pStyle w:val="Heading1"/>
        <w:rPr>
          <w:rFonts w:ascii="Calibri" w:hAnsi="Calibri" w:cs="Calibri"/>
          <w:b w:val="0"/>
          <w:bCs w:val="0"/>
          <w:color w:val="000000"/>
        </w:rPr>
      </w:pPr>
      <w:r w:rsidRPr="002C1079">
        <w:rPr>
          <w:rFonts w:ascii="Calibri" w:hAnsi="Calibri" w:cs="Calibri"/>
          <w:b w:val="0"/>
          <w:bCs w:val="0"/>
          <w:color w:val="000000"/>
        </w:rPr>
        <w:t>Correct. No one’s that bonkers (yet). Yes, in certain circumstances, DSs have the right to have their data erased but its not an absolute and there are exceptions.</w:t>
      </w:r>
      <w:r w:rsidR="000752DC" w:rsidRPr="002C1079">
        <w:rPr>
          <w:rFonts w:ascii="Calibri" w:hAnsi="Calibri" w:cs="Calibri"/>
          <w:b w:val="0"/>
          <w:bCs w:val="0"/>
          <w:color w:val="000000"/>
        </w:rPr>
        <w:t xml:space="preserve"> Thank heavens.</w:t>
      </w:r>
      <w:r w:rsidR="00D0451E">
        <w:rPr>
          <w:rFonts w:ascii="Calibri" w:hAnsi="Calibri" w:cs="Calibri"/>
          <w:b w:val="0"/>
          <w:bCs w:val="0"/>
          <w:color w:val="000000"/>
        </w:rPr>
        <w:t xml:space="preserve"> GPs of the UK breathe a sigh of relief.</w:t>
      </w:r>
    </w:p>
    <w:p w14:paraId="008A5A84" w14:textId="77777777" w:rsidR="0049511A" w:rsidRDefault="0049511A" w:rsidP="0071135A">
      <w:pPr>
        <w:rPr>
          <w:rFonts w:cs="Calibri"/>
          <w:b/>
          <w:sz w:val="32"/>
          <w:szCs w:val="32"/>
          <w:u w:val="single"/>
        </w:rPr>
      </w:pPr>
    </w:p>
    <w:p w14:paraId="0D094600" w14:textId="0B3B647A" w:rsidR="006A61BE" w:rsidRPr="002C1079" w:rsidRDefault="00D0451E" w:rsidP="0071135A">
      <w:pPr>
        <w:rPr>
          <w:rFonts w:cs="Calibri"/>
          <w:b/>
          <w:sz w:val="32"/>
          <w:szCs w:val="32"/>
          <w:u w:val="single"/>
        </w:rPr>
      </w:pPr>
      <w:r>
        <w:rPr>
          <w:rFonts w:cs="Calibri"/>
          <w:b/>
          <w:sz w:val="32"/>
          <w:szCs w:val="32"/>
          <w:u w:val="single"/>
        </w:rPr>
        <w:t>Cut to the chase, a</w:t>
      </w:r>
      <w:r w:rsidR="006A61BE" w:rsidRPr="002C1079">
        <w:rPr>
          <w:rFonts w:cs="Calibri"/>
          <w:b/>
          <w:sz w:val="32"/>
          <w:szCs w:val="32"/>
          <w:u w:val="single"/>
        </w:rPr>
        <w:t>nd the exceptions (relevant to GPs) are?</w:t>
      </w:r>
    </w:p>
    <w:p w14:paraId="5FC1297A" w14:textId="77777777" w:rsidR="006A61BE" w:rsidRPr="002C1079" w:rsidRDefault="000752DC" w:rsidP="0071135A">
      <w:pPr>
        <w:pStyle w:val="NormalWeb"/>
        <w:shd w:val="clear" w:color="auto" w:fill="FFFFFF"/>
        <w:spacing w:before="0" w:beforeAutospacing="0" w:after="240" w:afterAutospacing="0"/>
        <w:rPr>
          <w:rFonts w:ascii="Calibri" w:hAnsi="Calibri" w:cs="Calibri"/>
          <w:color w:val="000000"/>
          <w:sz w:val="32"/>
          <w:szCs w:val="32"/>
        </w:rPr>
      </w:pPr>
      <w:r w:rsidRPr="002C1079">
        <w:rPr>
          <w:rFonts w:ascii="Calibri" w:hAnsi="Calibri" w:cs="Calibri"/>
          <w:color w:val="000000"/>
          <w:sz w:val="32"/>
          <w:szCs w:val="32"/>
        </w:rPr>
        <w:t xml:space="preserve">Article 17(2)(b) says </w:t>
      </w:r>
      <w:r w:rsidR="009D074A" w:rsidRPr="002C1079">
        <w:rPr>
          <w:rFonts w:ascii="Calibri" w:hAnsi="Calibri" w:cs="Calibri"/>
          <w:color w:val="000000"/>
          <w:sz w:val="32"/>
          <w:szCs w:val="32"/>
        </w:rPr>
        <w:t>if processing is necessary for</w:t>
      </w:r>
      <w:r w:rsidRPr="002C1079">
        <w:rPr>
          <w:rFonts w:ascii="Calibri" w:hAnsi="Calibri" w:cs="Calibri"/>
          <w:color w:val="000000"/>
          <w:sz w:val="32"/>
          <w:szCs w:val="32"/>
        </w:rPr>
        <w:t xml:space="preserve"> (amongst others)</w:t>
      </w:r>
      <w:r w:rsidR="006A61BE" w:rsidRPr="002C1079">
        <w:rPr>
          <w:rFonts w:ascii="Calibri" w:hAnsi="Calibri" w:cs="Calibri"/>
          <w:color w:val="000000"/>
          <w:sz w:val="32"/>
          <w:szCs w:val="32"/>
        </w:rPr>
        <w:t>;</w:t>
      </w:r>
    </w:p>
    <w:p w14:paraId="0FC8A43A" w14:textId="77777777" w:rsidR="006A61BE" w:rsidRPr="002C1079" w:rsidRDefault="009D074A" w:rsidP="0071135A">
      <w:pPr>
        <w:pStyle w:val="NormalWeb"/>
        <w:numPr>
          <w:ilvl w:val="0"/>
          <w:numId w:val="15"/>
        </w:numPr>
        <w:shd w:val="clear" w:color="auto" w:fill="FFFFFF"/>
        <w:spacing w:before="0" w:beforeAutospacing="0" w:after="240" w:afterAutospacing="0"/>
        <w:rPr>
          <w:rFonts w:ascii="Calibri" w:hAnsi="Calibri" w:cs="Calibri"/>
          <w:color w:val="000000"/>
          <w:sz w:val="32"/>
          <w:szCs w:val="32"/>
        </w:rPr>
      </w:pPr>
      <w:r w:rsidRPr="002C1079">
        <w:rPr>
          <w:rFonts w:ascii="Calibri" w:hAnsi="Calibri" w:cs="Calibri"/>
          <w:color w:val="000000"/>
          <w:sz w:val="32"/>
          <w:szCs w:val="32"/>
        </w:rPr>
        <w:t>comply</w:t>
      </w:r>
      <w:r w:rsidR="00D0451E">
        <w:rPr>
          <w:rFonts w:ascii="Calibri" w:hAnsi="Calibri" w:cs="Calibri"/>
          <w:color w:val="000000"/>
          <w:sz w:val="32"/>
          <w:szCs w:val="32"/>
        </w:rPr>
        <w:t>ing</w:t>
      </w:r>
      <w:r w:rsidRPr="002C1079">
        <w:rPr>
          <w:rFonts w:ascii="Calibri" w:hAnsi="Calibri" w:cs="Calibri"/>
          <w:color w:val="000000"/>
          <w:sz w:val="32"/>
          <w:szCs w:val="32"/>
        </w:rPr>
        <w:t xml:space="preserve"> with a legal obligation</w:t>
      </w:r>
      <w:r w:rsidR="006A61BE" w:rsidRPr="002C1079">
        <w:rPr>
          <w:rFonts w:ascii="Calibri" w:hAnsi="Calibri" w:cs="Calibri"/>
          <w:color w:val="000000"/>
          <w:sz w:val="32"/>
          <w:szCs w:val="32"/>
        </w:rPr>
        <w:t xml:space="preserve"> (</w:t>
      </w:r>
      <w:proofErr w:type="spellStart"/>
      <w:r w:rsidR="006A61BE" w:rsidRPr="002C1079">
        <w:rPr>
          <w:rFonts w:ascii="Calibri" w:hAnsi="Calibri" w:cs="Calibri"/>
          <w:color w:val="000000"/>
          <w:sz w:val="32"/>
          <w:szCs w:val="32"/>
        </w:rPr>
        <w:t>i.e</w:t>
      </w:r>
      <w:proofErr w:type="spellEnd"/>
      <w:r w:rsidR="006A61BE" w:rsidRPr="002C1079">
        <w:rPr>
          <w:rFonts w:ascii="Calibri" w:hAnsi="Calibri" w:cs="Calibri"/>
          <w:color w:val="000000"/>
          <w:sz w:val="32"/>
          <w:szCs w:val="32"/>
        </w:rPr>
        <w:t xml:space="preserve"> your NHS contract) </w:t>
      </w:r>
    </w:p>
    <w:p w14:paraId="448E2E7E" w14:textId="77777777" w:rsidR="006A61BE" w:rsidRPr="002C1079" w:rsidRDefault="006A61BE" w:rsidP="0071135A">
      <w:pPr>
        <w:pStyle w:val="NormalWeb"/>
        <w:shd w:val="clear" w:color="auto" w:fill="FFFFFF"/>
        <w:spacing w:before="0" w:beforeAutospacing="0" w:after="240" w:afterAutospacing="0"/>
        <w:ind w:left="360"/>
        <w:rPr>
          <w:rFonts w:ascii="Calibri" w:hAnsi="Calibri" w:cs="Calibri"/>
          <w:color w:val="000000"/>
          <w:sz w:val="32"/>
          <w:szCs w:val="32"/>
        </w:rPr>
      </w:pPr>
      <w:r w:rsidRPr="002C1079">
        <w:rPr>
          <w:rFonts w:ascii="Calibri" w:hAnsi="Calibri" w:cs="Calibri"/>
          <w:color w:val="000000"/>
          <w:sz w:val="32"/>
          <w:szCs w:val="32"/>
        </w:rPr>
        <w:t xml:space="preserve">and or </w:t>
      </w:r>
    </w:p>
    <w:p w14:paraId="5C956E91" w14:textId="77777777" w:rsidR="006A61BE" w:rsidRPr="002C1079" w:rsidRDefault="009D074A" w:rsidP="0071135A">
      <w:pPr>
        <w:pStyle w:val="NormalWeb"/>
        <w:numPr>
          <w:ilvl w:val="0"/>
          <w:numId w:val="15"/>
        </w:numPr>
        <w:shd w:val="clear" w:color="auto" w:fill="FFFFFF"/>
        <w:spacing w:before="0" w:beforeAutospacing="0" w:after="240" w:afterAutospacing="0"/>
        <w:rPr>
          <w:rFonts w:ascii="Calibri" w:hAnsi="Calibri" w:cs="Calibri"/>
          <w:color w:val="000000"/>
          <w:sz w:val="32"/>
          <w:szCs w:val="32"/>
        </w:rPr>
      </w:pPr>
      <w:r w:rsidRPr="002C1079">
        <w:rPr>
          <w:rFonts w:ascii="Calibri" w:hAnsi="Calibri" w:cs="Calibri"/>
          <w:color w:val="000000"/>
          <w:sz w:val="32"/>
          <w:szCs w:val="32"/>
        </w:rPr>
        <w:t>the exercise of official authority</w:t>
      </w:r>
      <w:r w:rsidR="006A61BE" w:rsidRPr="002C1079">
        <w:rPr>
          <w:rFonts w:ascii="Calibri" w:hAnsi="Calibri" w:cs="Calibri"/>
          <w:color w:val="000000"/>
          <w:sz w:val="32"/>
          <w:szCs w:val="32"/>
        </w:rPr>
        <w:t xml:space="preserve"> (i.e. what GPs are expected to do</w:t>
      </w:r>
      <w:r w:rsidR="00D0451E">
        <w:rPr>
          <w:rFonts w:ascii="Calibri" w:hAnsi="Calibri" w:cs="Calibri"/>
          <w:color w:val="000000"/>
          <w:sz w:val="32"/>
          <w:szCs w:val="32"/>
        </w:rPr>
        <w:t xml:space="preserve"> as </w:t>
      </w:r>
      <w:r w:rsidR="006A61BE" w:rsidRPr="002C1079">
        <w:rPr>
          <w:rFonts w:ascii="Calibri" w:hAnsi="Calibri" w:cs="Calibri"/>
          <w:color w:val="000000"/>
          <w:sz w:val="32"/>
          <w:szCs w:val="32"/>
        </w:rPr>
        <w:t>GPs in the NHS).</w:t>
      </w:r>
    </w:p>
    <w:p w14:paraId="43164F44" w14:textId="77777777" w:rsidR="0071135A" w:rsidRPr="002C1079" w:rsidRDefault="0071135A" w:rsidP="0071135A">
      <w:pPr>
        <w:shd w:val="clear" w:color="auto" w:fill="FFFFFF"/>
        <w:spacing w:before="120" w:after="100" w:afterAutospacing="1"/>
        <w:ind w:left="284"/>
        <w:rPr>
          <w:rFonts w:cs="Calibri"/>
          <w:color w:val="000000"/>
          <w:sz w:val="32"/>
          <w:szCs w:val="32"/>
        </w:rPr>
      </w:pPr>
      <w:r w:rsidRPr="002C1079">
        <w:rPr>
          <w:rFonts w:cs="Calibri"/>
          <w:color w:val="000000"/>
          <w:sz w:val="32"/>
          <w:szCs w:val="32"/>
        </w:rPr>
        <w:t>then t</w:t>
      </w:r>
      <w:r w:rsidR="000752DC" w:rsidRPr="002C1079">
        <w:rPr>
          <w:rFonts w:cs="Calibri"/>
          <w:color w:val="000000"/>
          <w:sz w:val="32"/>
          <w:szCs w:val="32"/>
        </w:rPr>
        <w:t xml:space="preserve">here is no right to erasure. </w:t>
      </w:r>
      <w:r w:rsidR="00D0451E">
        <w:rPr>
          <w:rFonts w:cs="Calibri"/>
          <w:color w:val="000000"/>
          <w:sz w:val="32"/>
          <w:szCs w:val="32"/>
        </w:rPr>
        <w:t xml:space="preserve">Erasure gets double </w:t>
      </w:r>
      <w:proofErr w:type="spellStart"/>
      <w:r w:rsidR="00D0451E">
        <w:rPr>
          <w:rFonts w:cs="Calibri"/>
          <w:color w:val="000000"/>
          <w:sz w:val="32"/>
          <w:szCs w:val="32"/>
        </w:rPr>
        <w:t>whammied</w:t>
      </w:r>
      <w:proofErr w:type="spellEnd"/>
      <w:r w:rsidRPr="002C1079">
        <w:rPr>
          <w:rFonts w:cs="Calibri"/>
          <w:color w:val="000000"/>
          <w:sz w:val="32"/>
          <w:szCs w:val="32"/>
        </w:rPr>
        <w:t>.</w:t>
      </w:r>
    </w:p>
    <w:p w14:paraId="0D631633" w14:textId="41124922" w:rsidR="00BC4A07" w:rsidRPr="002C1079" w:rsidRDefault="0055221E" w:rsidP="0071135A">
      <w:pPr>
        <w:shd w:val="clear" w:color="auto" w:fill="FFFFFF"/>
        <w:spacing w:before="120" w:after="100" w:afterAutospacing="1"/>
        <w:rPr>
          <w:rFonts w:eastAsia="Times New Roman" w:cs="Calibri"/>
          <w:color w:val="000000"/>
          <w:sz w:val="32"/>
          <w:szCs w:val="32"/>
          <w:lang w:eastAsia="en-GB"/>
        </w:rPr>
      </w:pPr>
      <w:r w:rsidRPr="002C1079">
        <w:rPr>
          <w:rFonts w:cs="Calibri"/>
          <w:color w:val="000000"/>
          <w:sz w:val="32"/>
          <w:szCs w:val="32"/>
        </w:rPr>
        <w:t>However,</w:t>
      </w:r>
      <w:r w:rsidR="000752DC" w:rsidRPr="002C1079">
        <w:rPr>
          <w:rFonts w:cs="Calibri"/>
          <w:color w:val="000000"/>
          <w:sz w:val="32"/>
          <w:szCs w:val="32"/>
        </w:rPr>
        <w:t xml:space="preserve"> these are </w:t>
      </w:r>
      <w:r w:rsidR="003E4962">
        <w:rPr>
          <w:rFonts w:cs="Calibri"/>
          <w:color w:val="000000"/>
          <w:sz w:val="32"/>
          <w:szCs w:val="32"/>
        </w:rPr>
        <w:t xml:space="preserve">the </w:t>
      </w:r>
      <w:r w:rsidR="000752DC" w:rsidRPr="002C1079">
        <w:rPr>
          <w:rFonts w:cs="Calibri"/>
          <w:color w:val="000000"/>
          <w:sz w:val="32"/>
          <w:szCs w:val="32"/>
        </w:rPr>
        <w:t xml:space="preserve">exemptions to Article 6 processing of “personal data” only, GPs also by default process “special category” data under Article 9 justifications. </w:t>
      </w:r>
      <w:r w:rsidR="0071135A" w:rsidRPr="002C1079">
        <w:rPr>
          <w:rFonts w:cs="Calibri"/>
          <w:color w:val="000000"/>
          <w:sz w:val="32"/>
          <w:szCs w:val="32"/>
        </w:rPr>
        <w:t>So,</w:t>
      </w:r>
      <w:r w:rsidR="000752DC" w:rsidRPr="002C1079">
        <w:rPr>
          <w:rFonts w:cs="Calibri"/>
          <w:color w:val="000000"/>
          <w:sz w:val="32"/>
          <w:szCs w:val="32"/>
        </w:rPr>
        <w:t xml:space="preserve"> we also need exemption to Article 9</w:t>
      </w:r>
      <w:r w:rsidR="0071135A" w:rsidRPr="002C1079">
        <w:rPr>
          <w:rFonts w:cs="Calibri"/>
          <w:color w:val="000000"/>
          <w:sz w:val="32"/>
          <w:szCs w:val="32"/>
        </w:rPr>
        <w:t xml:space="preserve"> processing</w:t>
      </w:r>
      <w:r w:rsidR="000752DC" w:rsidRPr="002C1079">
        <w:rPr>
          <w:rFonts w:cs="Calibri"/>
          <w:color w:val="000000"/>
          <w:sz w:val="32"/>
          <w:szCs w:val="32"/>
        </w:rPr>
        <w:t xml:space="preserve">. Step up </w:t>
      </w:r>
      <w:r w:rsidR="0055229C" w:rsidRPr="002C1079">
        <w:rPr>
          <w:rFonts w:eastAsia="Times New Roman" w:cs="Calibri"/>
          <w:color w:val="000000"/>
          <w:sz w:val="32"/>
          <w:szCs w:val="32"/>
          <w:lang w:eastAsia="en-GB"/>
        </w:rPr>
        <w:t>Article 17(3)(c)</w:t>
      </w:r>
      <w:r w:rsidR="00D0451E">
        <w:rPr>
          <w:rFonts w:eastAsia="Times New Roman" w:cs="Calibri"/>
          <w:color w:val="000000"/>
          <w:sz w:val="32"/>
          <w:szCs w:val="32"/>
          <w:lang w:eastAsia="en-GB"/>
        </w:rPr>
        <w:t>,</w:t>
      </w:r>
      <w:r w:rsidR="0055229C" w:rsidRPr="002C1079">
        <w:rPr>
          <w:rFonts w:eastAsia="Times New Roman" w:cs="Calibri"/>
          <w:color w:val="000000"/>
          <w:sz w:val="32"/>
          <w:szCs w:val="32"/>
          <w:lang w:eastAsia="en-GB"/>
        </w:rPr>
        <w:t xml:space="preserve"> which </w:t>
      </w:r>
      <w:r w:rsidR="000752DC" w:rsidRPr="002C1079">
        <w:rPr>
          <w:rFonts w:eastAsia="Times New Roman" w:cs="Calibri"/>
          <w:color w:val="000000"/>
          <w:sz w:val="32"/>
          <w:szCs w:val="32"/>
          <w:lang w:eastAsia="en-GB"/>
        </w:rPr>
        <w:t xml:space="preserve">establishes that the </w:t>
      </w:r>
      <w:r w:rsidR="0055229C" w:rsidRPr="002C1079">
        <w:rPr>
          <w:rFonts w:eastAsia="Times New Roman" w:cs="Calibri"/>
          <w:color w:val="000000"/>
          <w:sz w:val="32"/>
          <w:szCs w:val="32"/>
          <w:lang w:eastAsia="en-GB"/>
        </w:rPr>
        <w:t>righ</w:t>
      </w:r>
      <w:r w:rsidR="000752DC" w:rsidRPr="002C1079">
        <w:rPr>
          <w:rFonts w:eastAsia="Times New Roman" w:cs="Calibri"/>
          <w:color w:val="000000"/>
          <w:sz w:val="32"/>
          <w:szCs w:val="32"/>
          <w:lang w:eastAsia="en-GB"/>
        </w:rPr>
        <w:t>t</w:t>
      </w:r>
      <w:r w:rsidR="0055229C" w:rsidRPr="002C1079">
        <w:rPr>
          <w:rFonts w:eastAsia="Times New Roman" w:cs="Calibri"/>
          <w:color w:val="000000"/>
          <w:sz w:val="32"/>
          <w:szCs w:val="32"/>
          <w:lang w:eastAsia="en-GB"/>
        </w:rPr>
        <w:t xml:space="preserve"> to erasure will n</w:t>
      </w:r>
      <w:r w:rsidR="0049511A">
        <w:rPr>
          <w:rFonts w:eastAsia="Times New Roman" w:cs="Calibri"/>
          <w:color w:val="000000"/>
          <w:sz w:val="32"/>
          <w:szCs w:val="32"/>
          <w:lang w:eastAsia="en-GB"/>
        </w:rPr>
        <w:t>ot</w:t>
      </w:r>
      <w:r w:rsidR="00D0451E">
        <w:rPr>
          <w:rFonts w:eastAsia="Times New Roman" w:cs="Calibri"/>
          <w:color w:val="000000"/>
          <w:sz w:val="32"/>
          <w:szCs w:val="32"/>
          <w:lang w:eastAsia="en-GB"/>
        </w:rPr>
        <w:t xml:space="preserve"> </w:t>
      </w:r>
      <w:r w:rsidR="0055229C" w:rsidRPr="002C1079">
        <w:rPr>
          <w:rFonts w:eastAsia="Times New Roman" w:cs="Calibri"/>
          <w:color w:val="000000"/>
          <w:sz w:val="32"/>
          <w:szCs w:val="32"/>
          <w:lang w:eastAsia="en-GB"/>
        </w:rPr>
        <w:t xml:space="preserve">apply if </w:t>
      </w:r>
      <w:r w:rsidR="000752DC" w:rsidRPr="002C1079">
        <w:rPr>
          <w:rFonts w:eastAsia="Times New Roman" w:cs="Calibri"/>
          <w:color w:val="000000"/>
          <w:sz w:val="32"/>
          <w:szCs w:val="32"/>
          <w:lang w:eastAsia="en-GB"/>
        </w:rPr>
        <w:t xml:space="preserve">processing is </w:t>
      </w:r>
      <w:r>
        <w:rPr>
          <w:rFonts w:eastAsia="Times New Roman" w:cs="Calibri"/>
          <w:color w:val="000000"/>
          <w:sz w:val="32"/>
          <w:szCs w:val="32"/>
          <w:lang w:eastAsia="en-GB"/>
        </w:rPr>
        <w:t xml:space="preserve">additionally </w:t>
      </w:r>
      <w:r w:rsidR="000752DC" w:rsidRPr="002C1079">
        <w:rPr>
          <w:rFonts w:eastAsia="Times New Roman" w:cs="Calibri"/>
          <w:color w:val="000000"/>
          <w:sz w:val="32"/>
          <w:szCs w:val="32"/>
          <w:lang w:eastAsia="en-GB"/>
        </w:rPr>
        <w:t>being undertaken under Article 9(2)(h)</w:t>
      </w:r>
      <w:r>
        <w:rPr>
          <w:rFonts w:eastAsia="Times New Roman" w:cs="Calibri"/>
          <w:color w:val="000000"/>
          <w:sz w:val="32"/>
          <w:szCs w:val="32"/>
          <w:lang w:eastAsia="en-GB"/>
        </w:rPr>
        <w:t>,</w:t>
      </w:r>
      <w:r w:rsidR="000752DC" w:rsidRPr="002C1079">
        <w:rPr>
          <w:rFonts w:eastAsia="Times New Roman" w:cs="Calibri"/>
          <w:color w:val="000000"/>
          <w:sz w:val="32"/>
          <w:szCs w:val="32"/>
          <w:lang w:eastAsia="en-GB"/>
        </w:rPr>
        <w:t xml:space="preserve"> which is precisely the one that GPs </w:t>
      </w:r>
      <w:r w:rsidR="0071135A" w:rsidRPr="002C1079">
        <w:rPr>
          <w:rFonts w:eastAsia="Times New Roman" w:cs="Calibri"/>
          <w:color w:val="000000"/>
          <w:sz w:val="32"/>
          <w:szCs w:val="32"/>
          <w:lang w:eastAsia="en-GB"/>
        </w:rPr>
        <w:t xml:space="preserve">rely on to </w:t>
      </w:r>
      <w:r w:rsidR="000752DC" w:rsidRPr="002C1079">
        <w:rPr>
          <w:rFonts w:eastAsia="Times New Roman" w:cs="Calibri"/>
          <w:color w:val="000000"/>
          <w:sz w:val="32"/>
          <w:szCs w:val="32"/>
          <w:lang w:eastAsia="en-GB"/>
        </w:rPr>
        <w:t>process their special category data.</w:t>
      </w:r>
      <w:r w:rsidR="00BC4A07" w:rsidRPr="002C1079">
        <w:rPr>
          <w:rFonts w:eastAsia="Times New Roman" w:cs="Calibri"/>
          <w:color w:val="000000"/>
          <w:sz w:val="32"/>
          <w:szCs w:val="32"/>
          <w:lang w:eastAsia="en-GB"/>
        </w:rPr>
        <w:t xml:space="preserve"> </w:t>
      </w:r>
      <w:r w:rsidR="0071135A" w:rsidRPr="002C1079">
        <w:rPr>
          <w:rFonts w:eastAsia="Times New Roman" w:cs="Calibri"/>
          <w:color w:val="000000"/>
          <w:sz w:val="32"/>
          <w:szCs w:val="32"/>
          <w:lang w:eastAsia="en-GB"/>
        </w:rPr>
        <w:t>So,</w:t>
      </w:r>
      <w:r w:rsidR="00BC4A07" w:rsidRPr="002C1079">
        <w:rPr>
          <w:rFonts w:eastAsia="Times New Roman" w:cs="Calibri"/>
          <w:color w:val="000000"/>
          <w:sz w:val="32"/>
          <w:szCs w:val="32"/>
          <w:lang w:eastAsia="en-GB"/>
        </w:rPr>
        <w:t xml:space="preserve"> if data has been processed for </w:t>
      </w:r>
      <w:r>
        <w:rPr>
          <w:rFonts w:eastAsia="Times New Roman" w:cs="Calibri"/>
          <w:color w:val="000000"/>
          <w:sz w:val="32"/>
          <w:szCs w:val="32"/>
          <w:lang w:eastAsia="en-GB"/>
        </w:rPr>
        <w:t xml:space="preserve">any of; </w:t>
      </w:r>
      <w:r w:rsidR="00BC4A07" w:rsidRPr="002C1079">
        <w:rPr>
          <w:rFonts w:eastAsia="Times New Roman" w:cs="Calibri"/>
          <w:color w:val="000000"/>
          <w:sz w:val="32"/>
          <w:szCs w:val="32"/>
          <w:lang w:eastAsia="en-GB"/>
        </w:rPr>
        <w:t>“</w:t>
      </w:r>
      <w:r w:rsidR="0055229C" w:rsidRPr="002C1079">
        <w:rPr>
          <w:rFonts w:eastAsia="Times New Roman" w:cs="Calibri"/>
          <w:color w:val="000000"/>
          <w:sz w:val="32"/>
          <w:szCs w:val="32"/>
          <w:lang w:eastAsia="en-GB"/>
        </w:rPr>
        <w:t>preventive or occupational medicine</w:t>
      </w:r>
      <w:r w:rsidR="00BC4A07" w:rsidRPr="002C1079">
        <w:rPr>
          <w:rFonts w:eastAsia="Times New Roman" w:cs="Calibri"/>
          <w:color w:val="000000"/>
          <w:sz w:val="32"/>
          <w:szCs w:val="32"/>
          <w:lang w:eastAsia="en-GB"/>
        </w:rPr>
        <w:t>”</w:t>
      </w:r>
      <w:r w:rsidR="0055229C" w:rsidRPr="002C1079">
        <w:rPr>
          <w:rFonts w:eastAsia="Times New Roman" w:cs="Calibri"/>
          <w:color w:val="000000"/>
          <w:sz w:val="32"/>
          <w:szCs w:val="32"/>
          <w:lang w:eastAsia="en-GB"/>
        </w:rPr>
        <w:t>,</w:t>
      </w:r>
      <w:r w:rsidR="00BC4A07" w:rsidRPr="002C1079">
        <w:rPr>
          <w:rFonts w:eastAsia="Times New Roman" w:cs="Calibri"/>
          <w:color w:val="000000"/>
          <w:sz w:val="32"/>
          <w:szCs w:val="32"/>
          <w:lang w:eastAsia="en-GB"/>
        </w:rPr>
        <w:t xml:space="preserve"> “</w:t>
      </w:r>
      <w:r w:rsidR="0055229C" w:rsidRPr="002C1079">
        <w:rPr>
          <w:rFonts w:eastAsia="Times New Roman" w:cs="Calibri"/>
          <w:color w:val="000000"/>
          <w:sz w:val="32"/>
          <w:szCs w:val="32"/>
          <w:lang w:eastAsia="en-GB"/>
        </w:rPr>
        <w:t xml:space="preserve">medical diagnosis, the provision of health or social care or treatment or the management of </w:t>
      </w:r>
      <w:r w:rsidR="0055229C" w:rsidRPr="002C1079">
        <w:rPr>
          <w:rFonts w:eastAsia="Times New Roman" w:cs="Calibri"/>
          <w:color w:val="000000"/>
          <w:sz w:val="32"/>
          <w:szCs w:val="32"/>
          <w:lang w:eastAsia="en-GB"/>
        </w:rPr>
        <w:lastRenderedPageBreak/>
        <w:t>health or social care systems and services</w:t>
      </w:r>
      <w:r w:rsidR="00BC4A07" w:rsidRPr="002C1079">
        <w:rPr>
          <w:rFonts w:eastAsia="Times New Roman" w:cs="Calibri"/>
          <w:color w:val="000000"/>
          <w:sz w:val="32"/>
          <w:szCs w:val="32"/>
          <w:lang w:eastAsia="en-GB"/>
        </w:rPr>
        <w:t xml:space="preserve">” </w:t>
      </w:r>
      <w:r>
        <w:rPr>
          <w:rFonts w:eastAsia="Times New Roman" w:cs="Calibri"/>
          <w:color w:val="000000"/>
          <w:sz w:val="32"/>
          <w:szCs w:val="32"/>
          <w:lang w:eastAsia="en-GB"/>
        </w:rPr>
        <w:t xml:space="preserve">and or </w:t>
      </w:r>
      <w:r w:rsidR="00BC4A07" w:rsidRPr="002C1079">
        <w:rPr>
          <w:rFonts w:eastAsia="Times New Roman" w:cs="Calibri"/>
          <w:color w:val="000000"/>
          <w:sz w:val="32"/>
          <w:szCs w:val="32"/>
          <w:lang w:eastAsia="en-GB"/>
        </w:rPr>
        <w:t>under “</w:t>
      </w:r>
      <w:r w:rsidR="0055229C" w:rsidRPr="002C1079">
        <w:rPr>
          <w:rFonts w:eastAsia="Times New Roman" w:cs="Calibri"/>
          <w:color w:val="000000"/>
          <w:sz w:val="32"/>
          <w:szCs w:val="32"/>
          <w:lang w:eastAsia="en-GB"/>
        </w:rPr>
        <w:t>Member State law or pursuant to contract with a health professional</w:t>
      </w:r>
      <w:r w:rsidR="00BC4A07" w:rsidRPr="002C1079">
        <w:rPr>
          <w:rFonts w:eastAsia="Times New Roman" w:cs="Calibri"/>
          <w:color w:val="000000"/>
          <w:sz w:val="32"/>
          <w:szCs w:val="32"/>
          <w:lang w:eastAsia="en-GB"/>
        </w:rPr>
        <w:t xml:space="preserve">” there is no right to erasure. </w:t>
      </w:r>
      <w:r w:rsidR="007411B5">
        <w:rPr>
          <w:rFonts w:eastAsia="Times New Roman" w:cs="Calibri"/>
          <w:color w:val="000000"/>
          <w:sz w:val="32"/>
          <w:szCs w:val="32"/>
          <w:lang w:eastAsia="en-GB"/>
        </w:rPr>
        <w:t xml:space="preserve">Just for the record </w:t>
      </w:r>
      <w:r w:rsidR="0071135A" w:rsidRPr="002C1079">
        <w:rPr>
          <w:rFonts w:eastAsia="Times New Roman" w:cs="Calibri"/>
          <w:color w:val="000000"/>
          <w:sz w:val="32"/>
          <w:szCs w:val="32"/>
          <w:lang w:eastAsia="en-GB"/>
        </w:rPr>
        <w:t xml:space="preserve">GPs satisfy </w:t>
      </w:r>
      <w:r w:rsidRPr="002C1079">
        <w:rPr>
          <w:rFonts w:eastAsia="Times New Roman" w:cs="Calibri"/>
          <w:color w:val="000000"/>
          <w:sz w:val="32"/>
          <w:szCs w:val="32"/>
          <w:lang w:eastAsia="en-GB"/>
        </w:rPr>
        <w:t>all</w:t>
      </w:r>
      <w:r w:rsidR="0071135A" w:rsidRPr="002C1079">
        <w:rPr>
          <w:rFonts w:eastAsia="Times New Roman" w:cs="Calibri"/>
          <w:color w:val="000000"/>
          <w:sz w:val="32"/>
          <w:szCs w:val="32"/>
          <w:lang w:eastAsia="en-GB"/>
        </w:rPr>
        <w:t xml:space="preserve"> those conditions.</w:t>
      </w:r>
    </w:p>
    <w:p w14:paraId="4B89EAE5" w14:textId="7061B8B4" w:rsidR="0071135A" w:rsidRPr="002C1079" w:rsidRDefault="0049511A" w:rsidP="73492B45">
      <w:pPr>
        <w:shd w:val="clear" w:color="auto" w:fill="FFFFFF" w:themeFill="background1"/>
        <w:spacing w:before="120" w:after="100" w:afterAutospacing="1"/>
        <w:rPr>
          <w:rFonts w:eastAsia="Times New Roman" w:cs="Calibri"/>
          <w:color w:val="000000"/>
          <w:sz w:val="32"/>
          <w:szCs w:val="32"/>
          <w:lang w:eastAsia="en-GB"/>
        </w:rPr>
      </w:pPr>
      <w:r>
        <w:rPr>
          <w:rFonts w:eastAsia="Times New Roman" w:cs="Calibri"/>
          <w:color w:val="000000" w:themeColor="text1"/>
          <w:sz w:val="32"/>
          <w:szCs w:val="32"/>
          <w:lang w:eastAsia="en-GB"/>
        </w:rPr>
        <w:t>So,</w:t>
      </w:r>
      <w:r w:rsidR="0055221E">
        <w:rPr>
          <w:rFonts w:eastAsia="Times New Roman" w:cs="Calibri"/>
          <w:color w:val="000000" w:themeColor="text1"/>
          <w:sz w:val="32"/>
          <w:szCs w:val="32"/>
          <w:lang w:eastAsia="en-GB"/>
        </w:rPr>
        <w:t xml:space="preserve"> your patients do not have the right to have their health records erased. </w:t>
      </w:r>
      <w:r>
        <w:rPr>
          <w:rFonts w:eastAsia="Times New Roman" w:cs="Calibri"/>
          <w:color w:val="000000" w:themeColor="text1"/>
          <w:sz w:val="32"/>
          <w:szCs w:val="32"/>
          <w:lang w:eastAsia="en-GB"/>
        </w:rPr>
        <w:t>Indeed,</w:t>
      </w:r>
      <w:r w:rsidR="0055221E">
        <w:rPr>
          <w:rFonts w:eastAsia="Times New Roman" w:cs="Calibri"/>
          <w:color w:val="000000" w:themeColor="text1"/>
          <w:sz w:val="32"/>
          <w:szCs w:val="32"/>
          <w:lang w:eastAsia="en-GB"/>
        </w:rPr>
        <w:t xml:space="preserve"> t</w:t>
      </w:r>
      <w:r w:rsidR="73492B45" w:rsidRPr="73492B45">
        <w:rPr>
          <w:rFonts w:eastAsia="Times New Roman" w:cs="Calibri"/>
          <w:color w:val="000000" w:themeColor="text1"/>
          <w:sz w:val="32"/>
          <w:szCs w:val="32"/>
          <w:lang w:eastAsia="en-GB"/>
        </w:rPr>
        <w:t xml:space="preserve">here are masses of reasons why GPs should never delete </w:t>
      </w:r>
      <w:r w:rsidR="0055221E">
        <w:rPr>
          <w:rFonts w:eastAsia="Times New Roman" w:cs="Calibri"/>
          <w:color w:val="000000" w:themeColor="text1"/>
          <w:sz w:val="32"/>
          <w:szCs w:val="32"/>
          <w:lang w:eastAsia="en-GB"/>
        </w:rPr>
        <w:t xml:space="preserve">any </w:t>
      </w:r>
      <w:r w:rsidR="73492B45" w:rsidRPr="73492B45">
        <w:rPr>
          <w:rFonts w:eastAsia="Times New Roman" w:cs="Calibri"/>
          <w:color w:val="000000" w:themeColor="text1"/>
          <w:sz w:val="32"/>
          <w:szCs w:val="32"/>
          <w:lang w:eastAsia="en-GB"/>
        </w:rPr>
        <w:t>patient records</w:t>
      </w:r>
      <w:r w:rsidR="0055221E">
        <w:rPr>
          <w:rFonts w:eastAsia="Times New Roman" w:cs="Calibri"/>
          <w:color w:val="000000" w:themeColor="text1"/>
          <w:sz w:val="32"/>
          <w:szCs w:val="32"/>
          <w:lang w:eastAsia="en-GB"/>
        </w:rPr>
        <w:t xml:space="preserve"> but that’s another story</w:t>
      </w:r>
      <w:r w:rsidR="73492B45" w:rsidRPr="73492B45">
        <w:rPr>
          <w:rFonts w:eastAsia="Times New Roman" w:cs="Calibri"/>
          <w:color w:val="000000" w:themeColor="text1"/>
          <w:sz w:val="32"/>
          <w:szCs w:val="32"/>
          <w:lang w:eastAsia="en-GB"/>
        </w:rPr>
        <w:t>.</w:t>
      </w:r>
    </w:p>
    <w:p w14:paraId="668ED324" w14:textId="77777777" w:rsidR="00FD2A16" w:rsidRPr="002C1079" w:rsidRDefault="00FD2A16" w:rsidP="0071135A">
      <w:pPr>
        <w:spacing w:before="120"/>
        <w:rPr>
          <w:rFonts w:eastAsia="Times New Roman" w:cs="Calibri"/>
          <w:b/>
          <w:color w:val="000000"/>
          <w:sz w:val="32"/>
          <w:szCs w:val="32"/>
          <w:u w:val="single"/>
          <w:lang w:eastAsia="en-GB"/>
        </w:rPr>
      </w:pPr>
      <w:r w:rsidRPr="002C1079">
        <w:rPr>
          <w:rFonts w:eastAsia="Times New Roman" w:cs="Calibri"/>
          <w:b/>
          <w:color w:val="000000"/>
          <w:sz w:val="32"/>
          <w:szCs w:val="32"/>
          <w:u w:val="single"/>
          <w:lang w:eastAsia="en-GB"/>
        </w:rPr>
        <w:t xml:space="preserve">What about the charging for </w:t>
      </w:r>
      <w:r w:rsidR="00D0451E">
        <w:rPr>
          <w:rFonts w:eastAsia="Times New Roman" w:cs="Calibri"/>
          <w:b/>
          <w:color w:val="000000"/>
          <w:sz w:val="32"/>
          <w:szCs w:val="32"/>
          <w:u w:val="single"/>
          <w:lang w:eastAsia="en-GB"/>
        </w:rPr>
        <w:t xml:space="preserve">erasure </w:t>
      </w:r>
      <w:r w:rsidRPr="002C1079">
        <w:rPr>
          <w:rFonts w:eastAsia="Times New Roman" w:cs="Calibri"/>
          <w:b/>
          <w:color w:val="000000"/>
          <w:sz w:val="32"/>
          <w:szCs w:val="32"/>
          <w:u w:val="single"/>
          <w:lang w:eastAsia="en-GB"/>
        </w:rPr>
        <w:t>requests I’ve read about?</w:t>
      </w:r>
    </w:p>
    <w:p w14:paraId="27D4AD75" w14:textId="1C26AE7C" w:rsidR="00BC4A07" w:rsidRPr="002C1079" w:rsidRDefault="73492B45" w:rsidP="0071135A">
      <w:pPr>
        <w:spacing w:before="120"/>
        <w:rPr>
          <w:rFonts w:eastAsia="Times New Roman" w:cs="Calibri"/>
          <w:color w:val="000000"/>
          <w:sz w:val="32"/>
          <w:szCs w:val="32"/>
          <w:lang w:eastAsia="en-GB"/>
        </w:rPr>
      </w:pPr>
      <w:r w:rsidRPr="73492B45">
        <w:rPr>
          <w:rFonts w:eastAsia="Times New Roman" w:cs="Calibri"/>
          <w:color w:val="000000" w:themeColor="text1"/>
          <w:sz w:val="32"/>
          <w:szCs w:val="32"/>
          <w:lang w:eastAsia="en-GB"/>
        </w:rPr>
        <w:t xml:space="preserve">There are other aspects to the right to erasure under Article 17 such as refusal of requests and charging for </w:t>
      </w:r>
      <w:r w:rsidR="0055221E" w:rsidRPr="73492B45">
        <w:rPr>
          <w:rFonts w:eastAsia="Times New Roman" w:cs="Calibri"/>
          <w:color w:val="000000" w:themeColor="text1"/>
          <w:sz w:val="32"/>
          <w:szCs w:val="32"/>
          <w:lang w:eastAsia="en-GB"/>
        </w:rPr>
        <w:t>requests,</w:t>
      </w:r>
      <w:r w:rsidRPr="73492B45">
        <w:rPr>
          <w:rFonts w:eastAsia="Times New Roman" w:cs="Calibri"/>
          <w:color w:val="000000" w:themeColor="text1"/>
          <w:sz w:val="32"/>
          <w:szCs w:val="32"/>
          <w:lang w:eastAsia="en-GB"/>
        </w:rPr>
        <w:t xml:space="preserve"> but these only apply whe</w:t>
      </w:r>
      <w:r w:rsidR="0049511A">
        <w:rPr>
          <w:rFonts w:eastAsia="Times New Roman" w:cs="Calibri"/>
          <w:color w:val="000000" w:themeColor="text1"/>
          <w:sz w:val="32"/>
          <w:szCs w:val="32"/>
          <w:lang w:eastAsia="en-GB"/>
        </w:rPr>
        <w:t>n</w:t>
      </w:r>
      <w:r w:rsidRPr="73492B45">
        <w:rPr>
          <w:rFonts w:eastAsia="Times New Roman" w:cs="Calibri"/>
          <w:color w:val="000000" w:themeColor="text1"/>
          <w:sz w:val="32"/>
          <w:szCs w:val="32"/>
          <w:lang w:eastAsia="en-GB"/>
        </w:rPr>
        <w:t xml:space="preserve"> there is a right to erasure in the first place. You can’t have a chargeable response to a request in relation to a right you don’t have. None of these apply to a GP because our patient DSs have no intrinsic right to erasure, ever, at all, full stop, period.</w:t>
      </w:r>
    </w:p>
    <w:p w14:paraId="0712A485" w14:textId="691FFD85" w:rsidR="73492B45" w:rsidRDefault="73492B45" w:rsidP="73492B45">
      <w:pPr>
        <w:spacing w:before="120"/>
        <w:rPr>
          <w:rFonts w:eastAsia="Times New Roman" w:cs="Calibri"/>
          <w:b/>
          <w:bCs/>
          <w:color w:val="000000" w:themeColor="text1"/>
          <w:sz w:val="32"/>
          <w:szCs w:val="32"/>
          <w:u w:val="single"/>
          <w:lang w:eastAsia="en-GB"/>
        </w:rPr>
      </w:pPr>
    </w:p>
    <w:p w14:paraId="48D03E6D" w14:textId="77777777" w:rsidR="00BC4A07" w:rsidRPr="002C1079" w:rsidRDefault="00BC4A07" w:rsidP="0071135A">
      <w:pPr>
        <w:spacing w:before="120"/>
        <w:rPr>
          <w:rFonts w:eastAsia="Times New Roman" w:cs="Calibri"/>
          <w:b/>
          <w:color w:val="000000"/>
          <w:sz w:val="32"/>
          <w:szCs w:val="32"/>
          <w:u w:val="single"/>
          <w:lang w:eastAsia="en-GB"/>
        </w:rPr>
      </w:pPr>
      <w:r w:rsidRPr="002C1079">
        <w:rPr>
          <w:rFonts w:eastAsia="Times New Roman" w:cs="Calibri"/>
          <w:b/>
          <w:color w:val="000000"/>
          <w:sz w:val="32"/>
          <w:szCs w:val="32"/>
          <w:u w:val="single"/>
          <w:lang w:eastAsia="en-GB"/>
        </w:rPr>
        <w:t>So what do we say to patients who want data deleted?</w:t>
      </w:r>
    </w:p>
    <w:p w14:paraId="09414D85" w14:textId="518AFBDA" w:rsidR="00BC4A07" w:rsidRDefault="73492B45" w:rsidP="0071135A">
      <w:pPr>
        <w:spacing w:before="120"/>
        <w:rPr>
          <w:rFonts w:eastAsia="Times New Roman" w:cs="Calibri"/>
          <w:color w:val="000000" w:themeColor="text1"/>
          <w:sz w:val="32"/>
          <w:szCs w:val="32"/>
          <w:lang w:eastAsia="en-GB"/>
        </w:rPr>
      </w:pPr>
      <w:r w:rsidRPr="73492B45">
        <w:rPr>
          <w:rFonts w:eastAsia="Times New Roman" w:cs="Calibri"/>
          <w:color w:val="000000" w:themeColor="text1"/>
          <w:sz w:val="32"/>
          <w:szCs w:val="32"/>
          <w:lang w:eastAsia="en-GB"/>
        </w:rPr>
        <w:t xml:space="preserve">Well, the short Friday 7:48 pm been working since 6:30 am doing extended stupidity access to 70 so called “urgent” contacts all day done 5 visits on patients who were champing at the bit because they had appointments elsewhere signed 105 prescriptions, answer is “go fly a kite”. An alternative response might be to ask what it is they want deleted and why. Such requests are usually a result of a misunderstanding, “yes it really was your right leg that was amputated, not the left” and thus amenable to clarification. If you can agree all well and good but the bottom line is to point them to Article 17. </w:t>
      </w:r>
    </w:p>
    <w:p w14:paraId="5BECC950" w14:textId="77777777" w:rsidR="00BF6D65" w:rsidRPr="002C1079" w:rsidRDefault="00BF6D65" w:rsidP="0071135A">
      <w:pPr>
        <w:spacing w:before="120"/>
        <w:rPr>
          <w:rFonts w:eastAsia="Times New Roman" w:cs="Calibri"/>
          <w:color w:val="000000"/>
          <w:sz w:val="32"/>
          <w:szCs w:val="32"/>
          <w:lang w:eastAsia="en-GB"/>
        </w:rPr>
      </w:pPr>
    </w:p>
    <w:p w14:paraId="476A7D18" w14:textId="77777777" w:rsidR="0071135A" w:rsidRPr="002C1079" w:rsidRDefault="0071135A" w:rsidP="0071135A">
      <w:pPr>
        <w:spacing w:before="120"/>
        <w:rPr>
          <w:rFonts w:eastAsia="Times New Roman" w:cs="Calibri"/>
          <w:b/>
          <w:color w:val="000000"/>
          <w:sz w:val="32"/>
          <w:szCs w:val="32"/>
          <w:u w:val="single"/>
          <w:lang w:eastAsia="en-GB"/>
        </w:rPr>
      </w:pPr>
      <w:r w:rsidRPr="002C1079">
        <w:rPr>
          <w:rFonts w:eastAsia="Times New Roman" w:cs="Calibri"/>
          <w:b/>
          <w:color w:val="000000"/>
          <w:sz w:val="32"/>
          <w:szCs w:val="32"/>
          <w:u w:val="single"/>
          <w:lang w:eastAsia="en-GB"/>
        </w:rPr>
        <w:t>Ok so if its not deletion what about other changes?</w:t>
      </w:r>
    </w:p>
    <w:p w14:paraId="2F2E4A8E" w14:textId="7E8F3F6E" w:rsidR="00FD2A16" w:rsidRDefault="0071135A" w:rsidP="0071135A">
      <w:pPr>
        <w:spacing w:before="120"/>
        <w:rPr>
          <w:rFonts w:eastAsia="Times New Roman" w:cs="Calibri"/>
          <w:color w:val="000000"/>
          <w:sz w:val="32"/>
          <w:szCs w:val="32"/>
          <w:lang w:eastAsia="en-GB"/>
        </w:rPr>
      </w:pPr>
      <w:r w:rsidRPr="002C1079">
        <w:rPr>
          <w:rFonts w:eastAsia="Times New Roman" w:cs="Calibri"/>
          <w:color w:val="000000"/>
          <w:sz w:val="32"/>
          <w:szCs w:val="32"/>
          <w:lang w:eastAsia="en-GB"/>
        </w:rPr>
        <w:t xml:space="preserve">Well patients expect their records to accurate, correct, up to date and correct. </w:t>
      </w:r>
      <w:r w:rsidR="00FD2A16" w:rsidRPr="002C1079">
        <w:rPr>
          <w:rFonts w:eastAsia="Times New Roman" w:cs="Calibri"/>
          <w:color w:val="000000"/>
          <w:sz w:val="32"/>
          <w:szCs w:val="32"/>
          <w:lang w:eastAsia="en-GB"/>
        </w:rPr>
        <w:t>Incidentally</w:t>
      </w:r>
      <w:r w:rsidRPr="002C1079">
        <w:rPr>
          <w:rFonts w:eastAsia="Times New Roman" w:cs="Calibri"/>
          <w:color w:val="000000"/>
          <w:sz w:val="32"/>
          <w:szCs w:val="32"/>
          <w:lang w:eastAsia="en-GB"/>
        </w:rPr>
        <w:t xml:space="preserve"> so do</w:t>
      </w:r>
      <w:r w:rsidR="00FD2A16" w:rsidRPr="002C1079">
        <w:rPr>
          <w:rFonts w:eastAsia="Times New Roman" w:cs="Calibri"/>
          <w:color w:val="000000"/>
          <w:sz w:val="32"/>
          <w:szCs w:val="32"/>
          <w:lang w:eastAsia="en-GB"/>
        </w:rPr>
        <w:t xml:space="preserve"> whole bunch of other people; </w:t>
      </w:r>
      <w:r w:rsidRPr="002C1079">
        <w:rPr>
          <w:rFonts w:eastAsia="Times New Roman" w:cs="Calibri"/>
          <w:color w:val="000000"/>
          <w:sz w:val="32"/>
          <w:szCs w:val="32"/>
          <w:lang w:eastAsia="en-GB"/>
        </w:rPr>
        <w:t xml:space="preserve">the GMC, CQC, NHSE, your CCG, your indemnity organisation and your partners or employers. </w:t>
      </w:r>
      <w:r w:rsidR="00FD2A16" w:rsidRPr="002C1079">
        <w:rPr>
          <w:rFonts w:eastAsia="Times New Roman" w:cs="Calibri"/>
          <w:color w:val="000000"/>
          <w:sz w:val="32"/>
          <w:szCs w:val="32"/>
          <w:lang w:eastAsia="en-GB"/>
        </w:rPr>
        <w:t>So,</w:t>
      </w:r>
      <w:r w:rsidRPr="002C1079">
        <w:rPr>
          <w:rFonts w:eastAsia="Times New Roman" w:cs="Calibri"/>
          <w:color w:val="000000"/>
          <w:sz w:val="32"/>
          <w:szCs w:val="32"/>
          <w:lang w:eastAsia="en-GB"/>
        </w:rPr>
        <w:t xml:space="preserve"> there should be no argument, listen to the concern, if there are errors correct them, if there are non</w:t>
      </w:r>
      <w:r w:rsidR="00FD2A16" w:rsidRPr="002C1079">
        <w:rPr>
          <w:rFonts w:eastAsia="Times New Roman" w:cs="Calibri"/>
          <w:color w:val="000000"/>
          <w:sz w:val="32"/>
          <w:szCs w:val="32"/>
          <w:lang w:eastAsia="en-GB"/>
        </w:rPr>
        <w:t xml:space="preserve">e, explain why. If they are </w:t>
      </w:r>
      <w:r w:rsidR="00FD2A16" w:rsidRPr="002C1079">
        <w:rPr>
          <w:rFonts w:eastAsia="Times New Roman" w:cs="Calibri"/>
          <w:color w:val="000000"/>
          <w:sz w:val="32"/>
          <w:szCs w:val="32"/>
          <w:lang w:eastAsia="en-GB"/>
        </w:rPr>
        <w:lastRenderedPageBreak/>
        <w:t xml:space="preserve">still unhappy </w:t>
      </w:r>
      <w:r w:rsidRPr="002C1079">
        <w:rPr>
          <w:rFonts w:eastAsia="Times New Roman" w:cs="Calibri"/>
          <w:color w:val="000000"/>
          <w:sz w:val="32"/>
          <w:szCs w:val="32"/>
          <w:lang w:eastAsia="en-GB"/>
        </w:rPr>
        <w:t xml:space="preserve">offer to place a comment </w:t>
      </w:r>
      <w:r w:rsidR="004437E9">
        <w:rPr>
          <w:rFonts w:eastAsia="Times New Roman" w:cs="Calibri"/>
          <w:color w:val="000000"/>
          <w:sz w:val="32"/>
          <w:szCs w:val="32"/>
          <w:lang w:eastAsia="en-GB"/>
        </w:rPr>
        <w:t xml:space="preserve">attributed to the </w:t>
      </w:r>
      <w:r w:rsidR="007F18A3">
        <w:rPr>
          <w:rFonts w:eastAsia="Times New Roman" w:cs="Calibri"/>
          <w:color w:val="000000"/>
          <w:sz w:val="32"/>
          <w:szCs w:val="32"/>
          <w:lang w:eastAsia="en-GB"/>
        </w:rPr>
        <w:t xml:space="preserve">patient </w:t>
      </w:r>
      <w:r w:rsidR="00FD2A16" w:rsidRPr="002C1079">
        <w:rPr>
          <w:rFonts w:eastAsia="Times New Roman" w:cs="Calibri"/>
          <w:color w:val="000000"/>
          <w:sz w:val="32"/>
          <w:szCs w:val="32"/>
          <w:lang w:eastAsia="en-GB"/>
        </w:rPr>
        <w:t xml:space="preserve">linked to </w:t>
      </w:r>
      <w:r w:rsidRPr="002C1079">
        <w:rPr>
          <w:rFonts w:eastAsia="Times New Roman" w:cs="Calibri"/>
          <w:color w:val="000000"/>
          <w:sz w:val="32"/>
          <w:szCs w:val="32"/>
          <w:lang w:eastAsia="en-GB"/>
        </w:rPr>
        <w:t xml:space="preserve">the disputed record. </w:t>
      </w:r>
    </w:p>
    <w:p w14:paraId="4FFB27F4" w14:textId="002F8E92" w:rsidR="0071135A" w:rsidRPr="002C1079" w:rsidRDefault="00AE2F81" w:rsidP="0071135A">
      <w:pPr>
        <w:spacing w:before="120"/>
        <w:rPr>
          <w:rFonts w:cs="Calibri"/>
          <w:sz w:val="32"/>
          <w:szCs w:val="32"/>
        </w:rPr>
      </w:pPr>
      <w:r>
        <w:rPr>
          <w:rFonts w:eastAsia="Times New Roman" w:cs="Calibri"/>
          <w:color w:val="000000" w:themeColor="text1"/>
          <w:sz w:val="32"/>
          <w:szCs w:val="32"/>
          <w:lang w:eastAsia="en-GB"/>
        </w:rPr>
        <w:t xml:space="preserve">GDPR deals with the same issue but back to front, </w:t>
      </w:r>
      <w:r w:rsidR="73492B45" w:rsidRPr="73492B45">
        <w:rPr>
          <w:rFonts w:eastAsia="Times New Roman" w:cs="Calibri"/>
          <w:color w:val="000000" w:themeColor="text1"/>
          <w:sz w:val="32"/>
          <w:szCs w:val="32"/>
          <w:lang w:eastAsia="en-GB"/>
        </w:rPr>
        <w:t>Article 16. “</w:t>
      </w:r>
      <w:r w:rsidR="73492B45" w:rsidRPr="73492B45">
        <w:rPr>
          <w:rFonts w:cs="Calibri"/>
          <w:sz w:val="32"/>
          <w:szCs w:val="32"/>
        </w:rPr>
        <w:t>Right to rectification. The data subject shall have the right to obtain from the controller without undue delay the rectification of inaccurate personal data concerning him or her.</w:t>
      </w:r>
      <w:r>
        <w:rPr>
          <w:rFonts w:cs="Calibri"/>
          <w:sz w:val="32"/>
          <w:szCs w:val="32"/>
        </w:rPr>
        <w:t xml:space="preserve">” </w:t>
      </w:r>
      <w:r w:rsidR="0055221E">
        <w:rPr>
          <w:rFonts w:cs="Calibri"/>
          <w:sz w:val="32"/>
          <w:szCs w:val="32"/>
        </w:rPr>
        <w:t>So,</w:t>
      </w:r>
      <w:r>
        <w:rPr>
          <w:rFonts w:cs="Calibri"/>
          <w:sz w:val="32"/>
          <w:szCs w:val="32"/>
        </w:rPr>
        <w:t xml:space="preserve"> its saying </w:t>
      </w:r>
      <w:r w:rsidR="00D808C6">
        <w:rPr>
          <w:rFonts w:cs="Calibri"/>
          <w:sz w:val="32"/>
          <w:szCs w:val="32"/>
        </w:rPr>
        <w:t xml:space="preserve">records must only ever be accurate by default and if they aren’t they are to be </w:t>
      </w:r>
      <w:r w:rsidR="0055221E">
        <w:rPr>
          <w:rFonts w:cs="Calibri"/>
          <w:sz w:val="32"/>
          <w:szCs w:val="32"/>
        </w:rPr>
        <w:t>corrected</w:t>
      </w:r>
      <w:r w:rsidR="00D808C6">
        <w:rPr>
          <w:rFonts w:cs="Calibri"/>
          <w:sz w:val="32"/>
          <w:szCs w:val="32"/>
        </w:rPr>
        <w:t xml:space="preserve">. Note it also </w:t>
      </w:r>
      <w:r w:rsidR="00981F9A">
        <w:rPr>
          <w:rFonts w:cs="Calibri"/>
          <w:sz w:val="32"/>
          <w:szCs w:val="32"/>
        </w:rPr>
        <w:t>deals with completeness; “</w:t>
      </w:r>
      <w:r w:rsidR="73492B45" w:rsidRPr="73492B45">
        <w:rPr>
          <w:rFonts w:cs="Calibri"/>
          <w:sz w:val="32"/>
          <w:szCs w:val="32"/>
        </w:rPr>
        <w:t>Taking into account the purposes of the processing, the data subject shall have the right to have incomplete personal data completed, including by means of providing a supplementary statement.”</w:t>
      </w:r>
    </w:p>
    <w:p w14:paraId="0E27B00A" w14:textId="77777777" w:rsidR="00FD2A16" w:rsidRPr="002C1079" w:rsidRDefault="00FD2A16" w:rsidP="0071135A">
      <w:pPr>
        <w:spacing w:before="120"/>
        <w:rPr>
          <w:rFonts w:cs="Calibri"/>
          <w:sz w:val="32"/>
          <w:szCs w:val="32"/>
        </w:rPr>
      </w:pPr>
    </w:p>
    <w:p w14:paraId="3165F070" w14:textId="77777777" w:rsidR="009D074A" w:rsidRPr="002C1079" w:rsidRDefault="00506632" w:rsidP="0071135A">
      <w:pPr>
        <w:rPr>
          <w:rFonts w:cs="Calibri"/>
          <w:b/>
          <w:sz w:val="32"/>
          <w:szCs w:val="32"/>
          <w:u w:val="single"/>
        </w:rPr>
      </w:pPr>
      <w:r w:rsidRPr="002C1079">
        <w:rPr>
          <w:rFonts w:cs="Calibri"/>
          <w:b/>
          <w:sz w:val="32"/>
          <w:szCs w:val="32"/>
          <w:u w:val="single"/>
        </w:rPr>
        <w:t>Deleting electronic records</w:t>
      </w:r>
    </w:p>
    <w:p w14:paraId="4BB85DF2" w14:textId="740FAEC8" w:rsidR="00FD2A16" w:rsidRDefault="00FD2A16" w:rsidP="0071135A">
      <w:pPr>
        <w:rPr>
          <w:rFonts w:cs="Calibri"/>
          <w:sz w:val="32"/>
          <w:szCs w:val="32"/>
        </w:rPr>
      </w:pPr>
      <w:r w:rsidRPr="002C1079">
        <w:rPr>
          <w:rFonts w:cs="Calibri"/>
          <w:sz w:val="32"/>
          <w:szCs w:val="32"/>
        </w:rPr>
        <w:t xml:space="preserve">Finally, remember with electronic </w:t>
      </w:r>
      <w:r w:rsidR="00506632" w:rsidRPr="002C1079">
        <w:rPr>
          <w:rFonts w:cs="Calibri"/>
          <w:sz w:val="32"/>
          <w:szCs w:val="32"/>
        </w:rPr>
        <w:t>patient records deletion and</w:t>
      </w:r>
      <w:r w:rsidR="0049511A">
        <w:rPr>
          <w:rFonts w:cs="Calibri"/>
          <w:sz w:val="32"/>
          <w:szCs w:val="32"/>
        </w:rPr>
        <w:t xml:space="preserve"> or c</w:t>
      </w:r>
      <w:r w:rsidR="00506632" w:rsidRPr="002C1079">
        <w:rPr>
          <w:rFonts w:cs="Calibri"/>
          <w:sz w:val="32"/>
          <w:szCs w:val="32"/>
        </w:rPr>
        <w:t xml:space="preserve">orrection does not mean what it says on the tin. Deletion means the errant record will be removed from </w:t>
      </w:r>
      <w:r w:rsidR="0049511A">
        <w:rPr>
          <w:rFonts w:cs="Calibri"/>
          <w:sz w:val="32"/>
          <w:szCs w:val="32"/>
        </w:rPr>
        <w:t>your screens</w:t>
      </w:r>
      <w:r w:rsidR="00506632" w:rsidRPr="002C1079">
        <w:rPr>
          <w:rFonts w:cs="Calibri"/>
          <w:sz w:val="32"/>
          <w:szCs w:val="32"/>
        </w:rPr>
        <w:t xml:space="preserve"> and maybe replaced by a more accurate record displayed in its </w:t>
      </w:r>
      <w:r w:rsidR="002C316B" w:rsidRPr="002C1079">
        <w:rPr>
          <w:rFonts w:cs="Calibri"/>
          <w:sz w:val="32"/>
          <w:szCs w:val="32"/>
        </w:rPr>
        <w:t>place,</w:t>
      </w:r>
      <w:r w:rsidR="00506632" w:rsidRPr="002C1079">
        <w:rPr>
          <w:rFonts w:cs="Calibri"/>
          <w:sz w:val="32"/>
          <w:szCs w:val="32"/>
        </w:rPr>
        <w:t xml:space="preserve"> but the original record remains, now demoted </w:t>
      </w:r>
      <w:r w:rsidR="002C316B">
        <w:rPr>
          <w:rFonts w:cs="Calibri"/>
          <w:sz w:val="32"/>
          <w:szCs w:val="32"/>
        </w:rPr>
        <w:t xml:space="preserve">and hidden </w:t>
      </w:r>
      <w:r w:rsidR="00506632" w:rsidRPr="002C1079">
        <w:rPr>
          <w:rFonts w:cs="Calibri"/>
          <w:sz w:val="32"/>
          <w:szCs w:val="32"/>
        </w:rPr>
        <w:t xml:space="preserve">to never </w:t>
      </w:r>
      <w:r w:rsidR="002C316B">
        <w:rPr>
          <w:rFonts w:cs="Calibri"/>
          <w:sz w:val="32"/>
          <w:szCs w:val="32"/>
        </w:rPr>
        <w:t xml:space="preserve">be seen </w:t>
      </w:r>
      <w:r w:rsidR="00506632" w:rsidRPr="002C1079">
        <w:rPr>
          <w:rFonts w:cs="Calibri"/>
          <w:sz w:val="32"/>
          <w:szCs w:val="32"/>
        </w:rPr>
        <w:t xml:space="preserve">on </w:t>
      </w:r>
      <w:r w:rsidR="002C316B">
        <w:rPr>
          <w:rFonts w:cs="Calibri"/>
          <w:sz w:val="32"/>
          <w:szCs w:val="32"/>
        </w:rPr>
        <w:t xml:space="preserve">your </w:t>
      </w:r>
      <w:r w:rsidR="00506632" w:rsidRPr="002C1079">
        <w:rPr>
          <w:rFonts w:cs="Calibri"/>
          <w:sz w:val="32"/>
          <w:szCs w:val="32"/>
        </w:rPr>
        <w:t>screen again. If it ever needs to be found it can be</w:t>
      </w:r>
      <w:r w:rsidR="0049511A">
        <w:rPr>
          <w:rFonts w:cs="Calibri"/>
          <w:sz w:val="32"/>
          <w:szCs w:val="32"/>
        </w:rPr>
        <w:t>,</w:t>
      </w:r>
      <w:r w:rsidR="00506632" w:rsidRPr="002C1079">
        <w:rPr>
          <w:rFonts w:cs="Calibri"/>
          <w:sz w:val="32"/>
          <w:szCs w:val="32"/>
        </w:rPr>
        <w:t xml:space="preserve"> as well as its own personal </w:t>
      </w:r>
      <w:r w:rsidR="004D6C96">
        <w:rPr>
          <w:rFonts w:cs="Calibri"/>
          <w:sz w:val="32"/>
          <w:szCs w:val="32"/>
        </w:rPr>
        <w:t xml:space="preserve">lifelong </w:t>
      </w:r>
      <w:r w:rsidR="00506632" w:rsidRPr="002C1079">
        <w:rPr>
          <w:rFonts w:cs="Calibri"/>
          <w:sz w:val="32"/>
          <w:szCs w:val="32"/>
        </w:rPr>
        <w:t xml:space="preserve">history in the form of the audit trail. It was this misconception that caught </w:t>
      </w:r>
      <w:r w:rsidR="0049511A">
        <w:rPr>
          <w:rFonts w:cs="Calibri"/>
          <w:sz w:val="32"/>
          <w:szCs w:val="32"/>
        </w:rPr>
        <w:t xml:space="preserve">out </w:t>
      </w:r>
      <w:r w:rsidR="00506632" w:rsidRPr="002C1079">
        <w:rPr>
          <w:rFonts w:cs="Calibri"/>
          <w:sz w:val="32"/>
          <w:szCs w:val="32"/>
        </w:rPr>
        <w:t>Shipman. Read the Good Practice Guidelines for GPs V4 t</w:t>
      </w:r>
      <w:r w:rsidR="004D6C96">
        <w:rPr>
          <w:rFonts w:cs="Calibri"/>
          <w:sz w:val="32"/>
          <w:szCs w:val="32"/>
        </w:rPr>
        <w:t>o</w:t>
      </w:r>
      <w:r w:rsidR="00506632" w:rsidRPr="002C1079">
        <w:rPr>
          <w:rFonts w:cs="Calibri"/>
          <w:sz w:val="32"/>
          <w:szCs w:val="32"/>
        </w:rPr>
        <w:t xml:space="preserve"> remind yourself</w:t>
      </w:r>
      <w:hyperlink r:id="rId6" w:history="1">
        <w:r w:rsidR="00506632" w:rsidRPr="002C1079">
          <w:rPr>
            <w:rStyle w:val="Hyperlink"/>
            <w:rFonts w:cs="Calibri"/>
            <w:sz w:val="32"/>
            <w:szCs w:val="32"/>
            <w:vertAlign w:val="superscript"/>
          </w:rPr>
          <w:t>1</w:t>
        </w:r>
      </w:hyperlink>
      <w:r w:rsidR="00506632" w:rsidRPr="002C1079">
        <w:rPr>
          <w:rFonts w:cs="Calibri"/>
          <w:sz w:val="32"/>
          <w:szCs w:val="32"/>
        </w:rPr>
        <w:t xml:space="preserve">. </w:t>
      </w:r>
    </w:p>
    <w:p w14:paraId="45624052" w14:textId="654A6A25" w:rsidR="004D6C96" w:rsidRDefault="004D6C96" w:rsidP="0071135A">
      <w:pPr>
        <w:rPr>
          <w:rFonts w:cs="Calibri"/>
          <w:sz w:val="32"/>
          <w:szCs w:val="32"/>
        </w:rPr>
      </w:pPr>
    </w:p>
    <w:p w14:paraId="760B3130" w14:textId="103CA125" w:rsidR="00E13EEB" w:rsidRPr="002A4761" w:rsidRDefault="002A2032" w:rsidP="00FD62C0">
      <w:pPr>
        <w:pStyle w:val="Heading1"/>
        <w:shd w:val="clear" w:color="auto" w:fill="FFFFFF"/>
        <w:spacing w:before="0" w:after="0"/>
        <w:textAlignment w:val="baseline"/>
      </w:pPr>
      <w:r w:rsidRPr="0055221E">
        <w:rPr>
          <w:rFonts w:asciiTheme="minorHAnsi" w:hAnsiTheme="minorHAnsi" w:cstheme="minorHAnsi"/>
          <w:color w:val="0B0C0C"/>
          <w:u w:val="single"/>
        </w:rPr>
        <w:t>The Good Practice Guidelines for GP electronic patient records - version 4 (2011)</w:t>
      </w:r>
    </w:p>
    <w:p w14:paraId="6ED7CC6E" w14:textId="5DE8F1B2" w:rsidR="00E13EEB" w:rsidRPr="002A4761" w:rsidRDefault="00E13EEB" w:rsidP="00E13EEB">
      <w:pPr>
        <w:rPr>
          <w:sz w:val="32"/>
          <w:szCs w:val="32"/>
        </w:rPr>
      </w:pPr>
      <w:r w:rsidRPr="002A4761">
        <w:rPr>
          <w:sz w:val="32"/>
          <w:szCs w:val="32"/>
        </w:rPr>
        <w:t xml:space="preserve">Did you know that as part of your practice’s NHS contract you must have read and adhere to these? </w:t>
      </w:r>
      <w:r w:rsidR="000A45E3" w:rsidRPr="002A4761">
        <w:rPr>
          <w:sz w:val="32"/>
          <w:szCs w:val="32"/>
        </w:rPr>
        <w:t xml:space="preserve">They are due a refresh but </w:t>
      </w:r>
      <w:r w:rsidR="002A4761" w:rsidRPr="002A4761">
        <w:rPr>
          <w:sz w:val="32"/>
          <w:szCs w:val="32"/>
        </w:rPr>
        <w:t>there’s</w:t>
      </w:r>
      <w:r w:rsidR="000A45E3" w:rsidRPr="002A4761">
        <w:rPr>
          <w:sz w:val="32"/>
          <w:szCs w:val="32"/>
        </w:rPr>
        <w:t xml:space="preserve"> still a heap of stuff in there </w:t>
      </w:r>
      <w:r w:rsidR="00CC00C5" w:rsidRPr="002A4761">
        <w:rPr>
          <w:sz w:val="32"/>
          <w:szCs w:val="32"/>
        </w:rPr>
        <w:t xml:space="preserve">that’s relevant and informative. The point about mentioning them here is that they help with GDPR. There are various </w:t>
      </w:r>
      <w:r w:rsidR="00DD674E" w:rsidRPr="002A4761">
        <w:rPr>
          <w:sz w:val="32"/>
          <w:szCs w:val="32"/>
        </w:rPr>
        <w:t xml:space="preserve">parts of GDPR that allow for the development or adoption of “Codes of Conduct” and the like. </w:t>
      </w:r>
      <w:r w:rsidR="00DD78E7" w:rsidRPr="002A4761">
        <w:rPr>
          <w:sz w:val="32"/>
          <w:szCs w:val="32"/>
        </w:rPr>
        <w:t>W</w:t>
      </w:r>
      <w:r w:rsidR="00DD674E" w:rsidRPr="002A4761">
        <w:rPr>
          <w:sz w:val="32"/>
          <w:szCs w:val="32"/>
        </w:rPr>
        <w:t>ell</w:t>
      </w:r>
      <w:r w:rsidR="00DD78E7" w:rsidRPr="002A4761">
        <w:rPr>
          <w:sz w:val="32"/>
          <w:szCs w:val="32"/>
        </w:rPr>
        <w:t xml:space="preserve"> here’s ours. </w:t>
      </w:r>
      <w:r w:rsidR="0049511A">
        <w:rPr>
          <w:sz w:val="32"/>
          <w:szCs w:val="32"/>
        </w:rPr>
        <w:t>I suggest the GPGs V4 2011 be adopted as the Code of Conduct for GP records under GDPR. They are already in your contract so it’s a bit of a no-brainer.</w:t>
      </w:r>
    </w:p>
    <w:p w14:paraId="4B94D5A5" w14:textId="3B7D3A2D" w:rsidR="00506632" w:rsidRDefault="00506632" w:rsidP="0071135A">
      <w:pPr>
        <w:rPr>
          <w:rFonts w:cs="Calibri"/>
          <w:sz w:val="32"/>
          <w:szCs w:val="32"/>
        </w:rPr>
      </w:pPr>
    </w:p>
    <w:p w14:paraId="4E2DA099" w14:textId="77777777" w:rsidR="0055221E" w:rsidRPr="002C1079" w:rsidRDefault="0055221E" w:rsidP="0071135A">
      <w:pPr>
        <w:rPr>
          <w:rFonts w:cs="Calibri"/>
          <w:sz w:val="32"/>
          <w:szCs w:val="32"/>
        </w:rPr>
      </w:pPr>
    </w:p>
    <w:p w14:paraId="338CC984" w14:textId="31C1A950" w:rsidR="005C5C01" w:rsidRDefault="005C5C01" w:rsidP="005C5C01">
      <w:pPr>
        <w:shd w:val="clear" w:color="auto" w:fill="FFFFFF"/>
        <w:spacing w:after="150"/>
        <w:textAlignment w:val="baseline"/>
        <w:outlineLvl w:val="0"/>
        <w:rPr>
          <w:rFonts w:eastAsia="Times New Roman" w:cs="Calibri"/>
          <w:color w:val="000000"/>
          <w:kern w:val="36"/>
          <w:sz w:val="44"/>
          <w:szCs w:val="44"/>
          <w:lang w:eastAsia="en-GB"/>
        </w:rPr>
      </w:pPr>
      <w:r>
        <w:rPr>
          <w:rFonts w:eastAsia="Times New Roman" w:cs="Calibri"/>
          <w:color w:val="000000"/>
          <w:kern w:val="36"/>
          <w:sz w:val="44"/>
          <w:szCs w:val="44"/>
          <w:lang w:eastAsia="en-GB"/>
        </w:rPr>
        <w:lastRenderedPageBreak/>
        <w:t>The right to Portability</w:t>
      </w:r>
      <w:r w:rsidR="002A328E">
        <w:rPr>
          <w:rFonts w:eastAsia="Times New Roman" w:cs="Calibri"/>
          <w:color w:val="000000"/>
          <w:kern w:val="36"/>
          <w:sz w:val="44"/>
          <w:szCs w:val="44"/>
          <w:lang w:eastAsia="en-GB"/>
        </w:rPr>
        <w:t xml:space="preserve"> - another NOT!</w:t>
      </w:r>
    </w:p>
    <w:p w14:paraId="07CE1FF2" w14:textId="77777777" w:rsidR="002A328E" w:rsidRDefault="002A328E" w:rsidP="005C5C01">
      <w:pPr>
        <w:rPr>
          <w:rFonts w:cs="Calibri"/>
          <w:sz w:val="32"/>
          <w:szCs w:val="32"/>
        </w:rPr>
      </w:pPr>
    </w:p>
    <w:p w14:paraId="305FB375" w14:textId="44D88E64" w:rsidR="002A328E" w:rsidRPr="002A328E" w:rsidRDefault="002A328E" w:rsidP="005C5C01">
      <w:pPr>
        <w:rPr>
          <w:rFonts w:cs="Calibri"/>
          <w:b/>
          <w:sz w:val="32"/>
          <w:szCs w:val="32"/>
          <w:u w:val="single"/>
        </w:rPr>
      </w:pPr>
      <w:r w:rsidRPr="002A328E">
        <w:rPr>
          <w:rFonts w:cs="Calibri"/>
          <w:b/>
          <w:sz w:val="32"/>
          <w:szCs w:val="32"/>
          <w:u w:val="single"/>
        </w:rPr>
        <w:t>Article 20</w:t>
      </w:r>
    </w:p>
    <w:p w14:paraId="2B653340" w14:textId="177A124A" w:rsidR="005C5C01" w:rsidRDefault="005C5C01" w:rsidP="005C5C01">
      <w:pPr>
        <w:rPr>
          <w:rFonts w:cs="Calibri"/>
          <w:sz w:val="32"/>
          <w:szCs w:val="32"/>
        </w:rPr>
      </w:pPr>
      <w:r>
        <w:rPr>
          <w:rFonts w:cs="Calibri"/>
          <w:sz w:val="32"/>
          <w:szCs w:val="32"/>
        </w:rPr>
        <w:t xml:space="preserve">This is another short one. GDPR creates under Article 20 the right to data portability. You will hear this talked about. This is a right to have personal data </w:t>
      </w:r>
      <w:r w:rsidR="002A328E">
        <w:rPr>
          <w:rFonts w:cs="Calibri"/>
          <w:sz w:val="32"/>
          <w:szCs w:val="32"/>
        </w:rPr>
        <w:t>transferred</w:t>
      </w:r>
      <w:r>
        <w:rPr>
          <w:rFonts w:cs="Calibri"/>
          <w:sz w:val="32"/>
          <w:szCs w:val="32"/>
        </w:rPr>
        <w:t xml:space="preserve"> </w:t>
      </w:r>
      <w:r w:rsidR="002A328E">
        <w:rPr>
          <w:rFonts w:cs="Calibri"/>
          <w:sz w:val="32"/>
          <w:szCs w:val="32"/>
        </w:rPr>
        <w:t>electronically</w:t>
      </w:r>
      <w:r>
        <w:rPr>
          <w:rFonts w:cs="Calibri"/>
          <w:sz w:val="32"/>
          <w:szCs w:val="32"/>
        </w:rPr>
        <w:t xml:space="preserve"> from an existing DC to the DS or another DC. </w:t>
      </w:r>
      <w:r w:rsidR="00684F6B">
        <w:rPr>
          <w:rFonts w:cs="Calibri"/>
          <w:sz w:val="32"/>
          <w:szCs w:val="32"/>
        </w:rPr>
        <w:t>It’s</w:t>
      </w:r>
      <w:r>
        <w:rPr>
          <w:rFonts w:cs="Calibri"/>
          <w:sz w:val="32"/>
          <w:szCs w:val="32"/>
        </w:rPr>
        <w:t xml:space="preserve"> all about transferring music lists, contact</w:t>
      </w:r>
      <w:r w:rsidR="00765E36">
        <w:rPr>
          <w:rFonts w:cs="Calibri"/>
          <w:sz w:val="32"/>
          <w:szCs w:val="32"/>
        </w:rPr>
        <w:t xml:space="preserve"> and account details</w:t>
      </w:r>
      <w:r>
        <w:rPr>
          <w:rFonts w:cs="Calibri"/>
          <w:sz w:val="32"/>
          <w:szCs w:val="32"/>
        </w:rPr>
        <w:t xml:space="preserve">, streaming details, social media type data etc. </w:t>
      </w:r>
      <w:r w:rsidR="00765E36">
        <w:rPr>
          <w:rFonts w:cs="Calibri"/>
          <w:sz w:val="32"/>
          <w:szCs w:val="32"/>
        </w:rPr>
        <w:t xml:space="preserve">Think transferring your mobile number to a different provider. </w:t>
      </w:r>
      <w:r>
        <w:rPr>
          <w:rFonts w:cs="Calibri"/>
          <w:sz w:val="32"/>
          <w:szCs w:val="32"/>
        </w:rPr>
        <w:t xml:space="preserve">The Article is intended to free up the passage of personal data between the service industries in the EU, it was never intended to apply to medical records, and thankfully it doesn’t. </w:t>
      </w:r>
    </w:p>
    <w:p w14:paraId="646BFAEF" w14:textId="77777777" w:rsidR="005C5C01" w:rsidRDefault="005C5C01" w:rsidP="005C5C01">
      <w:pPr>
        <w:rPr>
          <w:rFonts w:cs="Calibri"/>
          <w:sz w:val="32"/>
          <w:szCs w:val="32"/>
        </w:rPr>
      </w:pPr>
    </w:p>
    <w:p w14:paraId="1D86971E" w14:textId="73B70F4D" w:rsidR="005C5C01" w:rsidRDefault="005C5C01" w:rsidP="005C5C01">
      <w:pPr>
        <w:rPr>
          <w:rFonts w:cs="Calibri"/>
          <w:sz w:val="32"/>
          <w:szCs w:val="32"/>
        </w:rPr>
      </w:pPr>
      <w:r>
        <w:rPr>
          <w:rFonts w:cs="Calibri"/>
          <w:sz w:val="32"/>
          <w:szCs w:val="32"/>
        </w:rPr>
        <w:t xml:space="preserve">There are many </w:t>
      </w:r>
      <w:r w:rsidR="002A328E">
        <w:rPr>
          <w:rFonts w:cs="Calibri"/>
          <w:sz w:val="32"/>
          <w:szCs w:val="32"/>
        </w:rPr>
        <w:t>reasons</w:t>
      </w:r>
      <w:r>
        <w:rPr>
          <w:rFonts w:cs="Calibri"/>
          <w:sz w:val="32"/>
          <w:szCs w:val="32"/>
        </w:rPr>
        <w:t xml:space="preserve"> why this right under Article 20 doesn’t apply;</w:t>
      </w:r>
    </w:p>
    <w:p w14:paraId="4F6009C7" w14:textId="77777777" w:rsidR="005C5C01" w:rsidRDefault="005C5C01" w:rsidP="005C5C01">
      <w:pPr>
        <w:rPr>
          <w:rFonts w:cs="Calibri"/>
          <w:sz w:val="32"/>
          <w:szCs w:val="32"/>
        </w:rPr>
      </w:pPr>
    </w:p>
    <w:p w14:paraId="3263F3C1" w14:textId="77777777" w:rsidR="005C5C01" w:rsidRPr="005C5C01" w:rsidRDefault="005C5C01" w:rsidP="005C5C01">
      <w:pPr>
        <w:rPr>
          <w:rFonts w:asciiTheme="minorHAnsi" w:hAnsiTheme="minorHAnsi" w:cstheme="minorHAnsi"/>
          <w:sz w:val="32"/>
          <w:szCs w:val="32"/>
        </w:rPr>
      </w:pPr>
      <w:r w:rsidRPr="005C5C01">
        <w:rPr>
          <w:rFonts w:asciiTheme="minorHAnsi" w:hAnsiTheme="minorHAnsi" w:cstheme="minorHAnsi"/>
          <w:sz w:val="32"/>
          <w:szCs w:val="32"/>
        </w:rPr>
        <w:t>It only applies to personal data supplied by the DS to the DC</w:t>
      </w:r>
    </w:p>
    <w:p w14:paraId="3F8B127F" w14:textId="77777777" w:rsidR="005C5C01" w:rsidRPr="005C5C01" w:rsidRDefault="005C5C01" w:rsidP="005C5C01">
      <w:pPr>
        <w:rPr>
          <w:rFonts w:asciiTheme="minorHAnsi" w:hAnsiTheme="minorHAnsi" w:cstheme="minorHAnsi"/>
          <w:sz w:val="32"/>
          <w:szCs w:val="32"/>
        </w:rPr>
      </w:pPr>
      <w:r w:rsidRPr="005C5C01">
        <w:rPr>
          <w:rFonts w:asciiTheme="minorHAnsi" w:hAnsiTheme="minorHAnsi" w:cstheme="minorHAnsi"/>
          <w:sz w:val="32"/>
          <w:szCs w:val="32"/>
        </w:rPr>
        <w:t>It only applies to consented or explicitly contracted processing</w:t>
      </w:r>
    </w:p>
    <w:p w14:paraId="555174BE" w14:textId="3AC50A80" w:rsidR="005C5C01" w:rsidRDefault="005C5C01" w:rsidP="005C5C01">
      <w:pPr>
        <w:rPr>
          <w:rFonts w:asciiTheme="minorHAnsi" w:hAnsiTheme="minorHAnsi" w:cstheme="minorHAnsi"/>
          <w:sz w:val="32"/>
          <w:szCs w:val="32"/>
        </w:rPr>
      </w:pPr>
      <w:r w:rsidRPr="005C5C01">
        <w:rPr>
          <w:rFonts w:asciiTheme="minorHAnsi" w:hAnsiTheme="minorHAnsi" w:cstheme="minorHAnsi"/>
          <w:sz w:val="32"/>
          <w:szCs w:val="32"/>
        </w:rPr>
        <w:t xml:space="preserve">It only applies to processing “carried out by automated means” </w:t>
      </w:r>
    </w:p>
    <w:p w14:paraId="3430B415" w14:textId="4B794C77" w:rsidR="002A328E" w:rsidRDefault="002A328E" w:rsidP="005C5C01">
      <w:pPr>
        <w:rPr>
          <w:rFonts w:asciiTheme="minorHAnsi" w:hAnsiTheme="minorHAnsi" w:cstheme="minorHAnsi"/>
          <w:sz w:val="32"/>
          <w:szCs w:val="32"/>
        </w:rPr>
      </w:pPr>
    </w:p>
    <w:p w14:paraId="5F31070C" w14:textId="77777777" w:rsidR="002A328E" w:rsidRPr="002A328E" w:rsidRDefault="002A328E" w:rsidP="004D7AC6">
      <w:pPr>
        <w:ind w:left="426"/>
        <w:rPr>
          <w:rFonts w:asciiTheme="minorHAnsi" w:hAnsiTheme="minorHAnsi" w:cstheme="minorHAnsi"/>
          <w:b/>
          <w:sz w:val="32"/>
          <w:szCs w:val="32"/>
        </w:rPr>
      </w:pPr>
      <w:r w:rsidRPr="002A328E">
        <w:rPr>
          <w:rFonts w:asciiTheme="minorHAnsi" w:hAnsiTheme="minorHAnsi" w:cstheme="minorHAnsi"/>
          <w:b/>
          <w:sz w:val="32"/>
          <w:szCs w:val="32"/>
        </w:rPr>
        <w:t>Personal data supplied by the DS to the DC</w:t>
      </w:r>
    </w:p>
    <w:p w14:paraId="6D1D16B0" w14:textId="0F1715A4" w:rsidR="002A328E" w:rsidRDefault="002A328E" w:rsidP="004D7AC6">
      <w:pPr>
        <w:ind w:left="426"/>
        <w:rPr>
          <w:rFonts w:asciiTheme="minorHAnsi" w:hAnsiTheme="minorHAnsi" w:cstheme="minorHAnsi"/>
          <w:sz w:val="32"/>
          <w:szCs w:val="32"/>
        </w:rPr>
      </w:pPr>
      <w:r>
        <w:rPr>
          <w:rFonts w:asciiTheme="minorHAnsi" w:hAnsiTheme="minorHAnsi" w:cstheme="minorHAnsi"/>
          <w:sz w:val="32"/>
          <w:szCs w:val="32"/>
        </w:rPr>
        <w:t>S</w:t>
      </w:r>
      <w:r w:rsidR="005C5C01">
        <w:rPr>
          <w:rFonts w:asciiTheme="minorHAnsi" w:hAnsiTheme="minorHAnsi" w:cstheme="minorHAnsi"/>
          <w:sz w:val="32"/>
          <w:szCs w:val="32"/>
        </w:rPr>
        <w:t xml:space="preserve">ome might think that a BP reading taken from a patient’s arm, or a weight or a blood test result are being </w:t>
      </w:r>
      <w:r w:rsidR="005C5C01" w:rsidRPr="005C5C01">
        <w:rPr>
          <w:rFonts w:asciiTheme="minorHAnsi" w:hAnsiTheme="minorHAnsi" w:cstheme="minorHAnsi"/>
          <w:sz w:val="32"/>
          <w:szCs w:val="32"/>
        </w:rPr>
        <w:t xml:space="preserve">“provided by the data subject”. </w:t>
      </w:r>
      <w:r w:rsidR="005C5C01">
        <w:rPr>
          <w:rFonts w:asciiTheme="minorHAnsi" w:hAnsiTheme="minorHAnsi" w:cstheme="minorHAnsi"/>
          <w:sz w:val="32"/>
          <w:szCs w:val="32"/>
        </w:rPr>
        <w:t>Other types of data in the record, such as OPD letters are clearly not. If there is a possibility for a grey are</w:t>
      </w:r>
      <w:r>
        <w:rPr>
          <w:rFonts w:asciiTheme="minorHAnsi" w:hAnsiTheme="minorHAnsi" w:cstheme="minorHAnsi"/>
          <w:sz w:val="32"/>
          <w:szCs w:val="32"/>
        </w:rPr>
        <w:t>a</w:t>
      </w:r>
      <w:r w:rsidR="005C5C01">
        <w:rPr>
          <w:rFonts w:asciiTheme="minorHAnsi" w:hAnsiTheme="minorHAnsi" w:cstheme="minorHAnsi"/>
          <w:sz w:val="32"/>
          <w:szCs w:val="32"/>
        </w:rPr>
        <w:t xml:space="preserve"> of debate its soon shut down by the GPDR Guidance that specifically observes </w:t>
      </w:r>
      <w:r>
        <w:rPr>
          <w:rFonts w:asciiTheme="minorHAnsi" w:hAnsiTheme="minorHAnsi" w:cstheme="minorHAnsi"/>
          <w:sz w:val="32"/>
          <w:szCs w:val="32"/>
        </w:rPr>
        <w:t>an “</w:t>
      </w:r>
      <w:r w:rsidR="005C5C01" w:rsidRPr="005C5C01">
        <w:rPr>
          <w:rFonts w:asciiTheme="minorHAnsi" w:hAnsiTheme="minorHAnsi" w:cstheme="minorHAnsi"/>
          <w:sz w:val="32"/>
          <w:szCs w:val="32"/>
        </w:rPr>
        <w:t>outcome of an assessment regarding the health of a user</w:t>
      </w:r>
      <w:r>
        <w:rPr>
          <w:rFonts w:asciiTheme="minorHAnsi" w:hAnsiTheme="minorHAnsi" w:cstheme="minorHAnsi"/>
          <w:sz w:val="32"/>
          <w:szCs w:val="32"/>
        </w:rPr>
        <w:t>………</w:t>
      </w:r>
      <w:r w:rsidR="005C5C01" w:rsidRPr="005C5C01">
        <w:rPr>
          <w:rFonts w:asciiTheme="minorHAnsi" w:hAnsiTheme="minorHAnsi" w:cstheme="minorHAnsi"/>
          <w:sz w:val="32"/>
          <w:szCs w:val="32"/>
        </w:rPr>
        <w:t xml:space="preserve">cannot </w:t>
      </w:r>
      <w:r>
        <w:rPr>
          <w:rFonts w:asciiTheme="minorHAnsi" w:hAnsiTheme="minorHAnsi" w:cstheme="minorHAnsi"/>
          <w:sz w:val="32"/>
          <w:szCs w:val="32"/>
        </w:rPr>
        <w:t>…………</w:t>
      </w:r>
      <w:r w:rsidR="005C5C01" w:rsidRPr="005C5C01">
        <w:rPr>
          <w:rFonts w:asciiTheme="minorHAnsi" w:hAnsiTheme="minorHAnsi" w:cstheme="minorHAnsi"/>
          <w:sz w:val="32"/>
          <w:szCs w:val="32"/>
        </w:rPr>
        <w:t xml:space="preserve"> be considered as “provided by” the data subject. Even though such data are inferred or derived from the analysis of data provided by the data subject (through his actions for example), these data will typically not be considered as “provided by the data subject” and thus will not be within scope of this new right</w:t>
      </w:r>
      <w:r>
        <w:rPr>
          <w:rFonts w:asciiTheme="minorHAnsi" w:hAnsiTheme="minorHAnsi" w:cstheme="minorHAnsi"/>
          <w:sz w:val="32"/>
          <w:szCs w:val="32"/>
        </w:rPr>
        <w:t>.”</w:t>
      </w:r>
    </w:p>
    <w:p w14:paraId="5F35E283" w14:textId="77777777" w:rsidR="002A328E" w:rsidRDefault="002A328E" w:rsidP="004D7AC6">
      <w:pPr>
        <w:ind w:left="426"/>
        <w:rPr>
          <w:rFonts w:asciiTheme="minorHAnsi" w:hAnsiTheme="minorHAnsi" w:cstheme="minorHAnsi"/>
          <w:sz w:val="32"/>
          <w:szCs w:val="32"/>
        </w:rPr>
      </w:pPr>
    </w:p>
    <w:p w14:paraId="5718058F" w14:textId="77777777" w:rsidR="002A328E" w:rsidRPr="002A328E" w:rsidRDefault="002A328E" w:rsidP="004D7AC6">
      <w:pPr>
        <w:ind w:left="426"/>
        <w:rPr>
          <w:rFonts w:asciiTheme="minorHAnsi" w:hAnsiTheme="minorHAnsi" w:cstheme="minorHAnsi"/>
          <w:b/>
          <w:sz w:val="32"/>
          <w:szCs w:val="32"/>
        </w:rPr>
      </w:pPr>
      <w:r w:rsidRPr="002A328E">
        <w:rPr>
          <w:rFonts w:asciiTheme="minorHAnsi" w:hAnsiTheme="minorHAnsi" w:cstheme="minorHAnsi"/>
          <w:b/>
          <w:sz w:val="32"/>
          <w:szCs w:val="32"/>
        </w:rPr>
        <w:t>Consented and contracted</w:t>
      </w:r>
    </w:p>
    <w:p w14:paraId="32D3859C" w14:textId="77777777" w:rsidR="002A328E" w:rsidRDefault="002A328E" w:rsidP="004D7AC6">
      <w:pPr>
        <w:ind w:left="426"/>
        <w:rPr>
          <w:rFonts w:asciiTheme="minorHAnsi" w:hAnsiTheme="minorHAnsi" w:cstheme="minorHAnsi"/>
          <w:sz w:val="32"/>
          <w:szCs w:val="32"/>
        </w:rPr>
      </w:pPr>
      <w:r>
        <w:rPr>
          <w:rFonts w:asciiTheme="minorHAnsi" w:hAnsiTheme="minorHAnsi" w:cstheme="minorHAnsi"/>
          <w:sz w:val="32"/>
          <w:szCs w:val="32"/>
        </w:rPr>
        <w:lastRenderedPageBreak/>
        <w:t>Processing of patient data by NHS GPs is done under Articles 6(1)(e) and 9(2)(h) neither of which are consenting or contracting.</w:t>
      </w:r>
    </w:p>
    <w:p w14:paraId="227DA589" w14:textId="1279F98F" w:rsidR="002A328E" w:rsidRDefault="002A328E" w:rsidP="004D7AC6">
      <w:pPr>
        <w:ind w:left="426"/>
        <w:rPr>
          <w:rFonts w:asciiTheme="minorHAnsi" w:hAnsiTheme="minorHAnsi" w:cstheme="minorHAnsi"/>
          <w:sz w:val="32"/>
          <w:szCs w:val="32"/>
        </w:rPr>
      </w:pPr>
    </w:p>
    <w:p w14:paraId="6C67B06C" w14:textId="42FCA997" w:rsidR="002A328E" w:rsidRPr="002A328E" w:rsidRDefault="002A328E" w:rsidP="004D7AC6">
      <w:pPr>
        <w:ind w:left="426"/>
        <w:rPr>
          <w:rFonts w:asciiTheme="minorHAnsi" w:hAnsiTheme="minorHAnsi" w:cstheme="minorHAnsi"/>
          <w:b/>
          <w:sz w:val="32"/>
          <w:szCs w:val="32"/>
        </w:rPr>
      </w:pPr>
      <w:r w:rsidRPr="002A328E">
        <w:rPr>
          <w:rFonts w:asciiTheme="minorHAnsi" w:hAnsiTheme="minorHAnsi" w:cstheme="minorHAnsi"/>
          <w:b/>
          <w:sz w:val="32"/>
          <w:szCs w:val="32"/>
        </w:rPr>
        <w:t>“carried out by automated means”</w:t>
      </w:r>
    </w:p>
    <w:p w14:paraId="7202E9F5" w14:textId="5CDB11B7" w:rsidR="002A328E" w:rsidRDefault="002A328E" w:rsidP="004D7AC6">
      <w:pPr>
        <w:ind w:left="426"/>
        <w:rPr>
          <w:rFonts w:asciiTheme="minorHAnsi" w:hAnsiTheme="minorHAnsi" w:cstheme="minorHAnsi"/>
          <w:sz w:val="32"/>
          <w:szCs w:val="32"/>
        </w:rPr>
      </w:pPr>
      <w:r>
        <w:rPr>
          <w:rFonts w:asciiTheme="minorHAnsi" w:hAnsiTheme="minorHAnsi" w:cstheme="minorHAnsi"/>
          <w:sz w:val="32"/>
          <w:szCs w:val="32"/>
        </w:rPr>
        <w:t>Well as daily users of GPSoC provided systems need I say more?</w:t>
      </w:r>
    </w:p>
    <w:p w14:paraId="5B436F6C" w14:textId="77777777" w:rsidR="002A328E" w:rsidRDefault="002A328E" w:rsidP="005C5C01">
      <w:pPr>
        <w:rPr>
          <w:rFonts w:asciiTheme="minorHAnsi" w:hAnsiTheme="minorHAnsi" w:cstheme="minorHAnsi"/>
          <w:sz w:val="32"/>
          <w:szCs w:val="32"/>
        </w:rPr>
      </w:pPr>
    </w:p>
    <w:p w14:paraId="560E4F35" w14:textId="494D456A" w:rsidR="005C5C01" w:rsidRPr="004D7AC6" w:rsidRDefault="0049511A" w:rsidP="005C5C01">
      <w:pPr>
        <w:rPr>
          <w:rFonts w:asciiTheme="minorHAnsi" w:hAnsiTheme="minorHAnsi" w:cstheme="minorHAnsi"/>
          <w:b/>
          <w:sz w:val="32"/>
          <w:szCs w:val="32"/>
          <w:u w:val="single"/>
        </w:rPr>
      </w:pPr>
      <w:r w:rsidRPr="004D7AC6">
        <w:rPr>
          <w:rFonts w:asciiTheme="minorHAnsi" w:hAnsiTheme="minorHAnsi" w:cstheme="minorHAnsi"/>
          <w:b/>
          <w:sz w:val="32"/>
          <w:szCs w:val="32"/>
          <w:u w:val="single"/>
        </w:rPr>
        <w:t>But we are DCs for more than just patient data; our employees</w:t>
      </w:r>
    </w:p>
    <w:p w14:paraId="7E0179F8" w14:textId="31A7EAD7" w:rsidR="005C5C01" w:rsidRDefault="005C5C01" w:rsidP="005C5C01">
      <w:pPr>
        <w:rPr>
          <w:rFonts w:asciiTheme="minorHAnsi" w:hAnsiTheme="minorHAnsi" w:cstheme="minorHAnsi"/>
          <w:sz w:val="32"/>
          <w:szCs w:val="32"/>
        </w:rPr>
      </w:pPr>
      <w:r w:rsidRPr="005C5C01">
        <w:rPr>
          <w:rFonts w:asciiTheme="minorHAnsi" w:hAnsiTheme="minorHAnsi" w:cstheme="minorHAnsi"/>
          <w:sz w:val="32"/>
          <w:szCs w:val="32"/>
        </w:rPr>
        <w:t>When it comes to employees’ data, the right to data portability typically applies only if the processing is based on a contract to which the data subject is a party. In many cases, consent will not be considered freely given in this context, due to the imbalance of power between the</w:t>
      </w:r>
      <w:r w:rsidR="004D7AC6">
        <w:rPr>
          <w:rFonts w:asciiTheme="minorHAnsi" w:hAnsiTheme="minorHAnsi" w:cstheme="minorHAnsi"/>
          <w:sz w:val="32"/>
          <w:szCs w:val="32"/>
        </w:rPr>
        <w:t xml:space="preserve"> employee and the employer. So the records of our employees are not </w:t>
      </w:r>
      <w:proofErr w:type="spellStart"/>
      <w:r w:rsidR="004D7AC6">
        <w:rPr>
          <w:rFonts w:asciiTheme="minorHAnsi" w:hAnsiTheme="minorHAnsi" w:cstheme="minorHAnsi"/>
          <w:sz w:val="32"/>
          <w:szCs w:val="32"/>
        </w:rPr>
        <w:t>considerd</w:t>
      </w:r>
      <w:proofErr w:type="spellEnd"/>
      <w:r w:rsidR="004D7AC6">
        <w:rPr>
          <w:rFonts w:asciiTheme="minorHAnsi" w:hAnsiTheme="minorHAnsi" w:cstheme="minorHAnsi"/>
          <w:sz w:val="32"/>
          <w:szCs w:val="32"/>
        </w:rPr>
        <w:t xml:space="preserve"> to be consented. </w:t>
      </w:r>
    </w:p>
    <w:p w14:paraId="11E91A77" w14:textId="36A91156" w:rsidR="004D7AC6" w:rsidRDefault="004D7AC6" w:rsidP="005C5C01">
      <w:pPr>
        <w:rPr>
          <w:rFonts w:asciiTheme="minorHAnsi" w:hAnsiTheme="minorHAnsi" w:cstheme="minorHAnsi"/>
          <w:sz w:val="32"/>
          <w:szCs w:val="32"/>
        </w:rPr>
      </w:pPr>
    </w:p>
    <w:p w14:paraId="0F0ADC5F" w14:textId="2E66470C" w:rsidR="004D7AC6" w:rsidRPr="004D7AC6" w:rsidRDefault="004D7AC6" w:rsidP="005C5C01">
      <w:pPr>
        <w:rPr>
          <w:rFonts w:asciiTheme="minorHAnsi" w:hAnsiTheme="minorHAnsi" w:cstheme="minorHAnsi"/>
          <w:b/>
          <w:sz w:val="32"/>
          <w:szCs w:val="32"/>
          <w:u w:val="single"/>
        </w:rPr>
      </w:pPr>
      <w:r w:rsidRPr="004D7AC6">
        <w:rPr>
          <w:rFonts w:asciiTheme="minorHAnsi" w:hAnsiTheme="minorHAnsi" w:cstheme="minorHAnsi"/>
          <w:b/>
          <w:sz w:val="32"/>
          <w:szCs w:val="32"/>
          <w:u w:val="single"/>
        </w:rPr>
        <w:t>What then of employee records?</w:t>
      </w:r>
    </w:p>
    <w:p w14:paraId="0F08CBB2" w14:textId="324657B8" w:rsidR="004D7AC6" w:rsidRDefault="004D7AC6" w:rsidP="005C5C01">
      <w:pPr>
        <w:rPr>
          <w:rFonts w:asciiTheme="minorHAnsi" w:hAnsiTheme="minorHAnsi" w:cstheme="minorHAnsi"/>
          <w:sz w:val="32"/>
          <w:szCs w:val="32"/>
        </w:rPr>
      </w:pPr>
      <w:r>
        <w:rPr>
          <w:rFonts w:asciiTheme="minorHAnsi" w:hAnsiTheme="minorHAnsi" w:cstheme="minorHAnsi"/>
          <w:sz w:val="32"/>
          <w:szCs w:val="32"/>
        </w:rPr>
        <w:t xml:space="preserve">Remember that last CQC visit? When they wanted to see the records of your staff </w:t>
      </w:r>
      <w:r w:rsidR="00B33D62">
        <w:rPr>
          <w:rFonts w:asciiTheme="minorHAnsi" w:hAnsiTheme="minorHAnsi" w:cstheme="minorHAnsi"/>
          <w:sz w:val="32"/>
          <w:szCs w:val="32"/>
        </w:rPr>
        <w:t>recruitment</w:t>
      </w:r>
      <w:r>
        <w:rPr>
          <w:rFonts w:asciiTheme="minorHAnsi" w:hAnsiTheme="minorHAnsi" w:cstheme="minorHAnsi"/>
          <w:sz w:val="32"/>
          <w:szCs w:val="32"/>
        </w:rPr>
        <w:t xml:space="preserve"> and their references? Well those are records required under a law, the Health and Social Care Act. Not contracting, not consent, not automated, ergo portability does not exist.</w:t>
      </w:r>
    </w:p>
    <w:p w14:paraId="1B7F7408" w14:textId="03931A59" w:rsidR="004D7AC6" w:rsidRDefault="004D7AC6" w:rsidP="005C5C01">
      <w:pPr>
        <w:rPr>
          <w:rFonts w:asciiTheme="minorHAnsi" w:hAnsiTheme="minorHAnsi" w:cstheme="minorHAnsi"/>
          <w:sz w:val="32"/>
          <w:szCs w:val="32"/>
        </w:rPr>
      </w:pPr>
    </w:p>
    <w:p w14:paraId="3DEEC669" w14:textId="77777777" w:rsidR="00FD2A16" w:rsidRPr="005C5C01" w:rsidRDefault="00FD2A16" w:rsidP="0071135A">
      <w:pPr>
        <w:rPr>
          <w:rFonts w:asciiTheme="minorHAnsi" w:hAnsiTheme="minorHAnsi" w:cstheme="minorHAnsi"/>
          <w:sz w:val="32"/>
          <w:szCs w:val="32"/>
        </w:rPr>
      </w:pPr>
    </w:p>
    <w:p w14:paraId="3656B9AB" w14:textId="77777777" w:rsidR="00FD2A16" w:rsidRPr="005C5C01" w:rsidRDefault="00FD2A16" w:rsidP="0071135A">
      <w:pPr>
        <w:rPr>
          <w:rFonts w:asciiTheme="minorHAnsi" w:hAnsiTheme="minorHAnsi" w:cstheme="minorHAnsi"/>
          <w:sz w:val="32"/>
          <w:szCs w:val="32"/>
        </w:rPr>
      </w:pPr>
    </w:p>
    <w:p w14:paraId="45FB0818" w14:textId="77777777" w:rsidR="00FD2A16" w:rsidRPr="005C5C01" w:rsidRDefault="00FD2A16" w:rsidP="0071135A">
      <w:pPr>
        <w:rPr>
          <w:rFonts w:asciiTheme="minorHAnsi" w:hAnsiTheme="minorHAnsi" w:cstheme="minorHAnsi"/>
          <w:sz w:val="32"/>
          <w:szCs w:val="32"/>
        </w:rPr>
      </w:pPr>
    </w:p>
    <w:p w14:paraId="3858B544" w14:textId="77777777" w:rsidR="00942474" w:rsidRPr="00684101" w:rsidRDefault="00942474" w:rsidP="00942474">
      <w:pPr>
        <w:pStyle w:val="Heading1"/>
        <w:rPr>
          <w:rFonts w:ascii="Calibri" w:hAnsi="Calibri" w:cs="Calibri"/>
          <w:b w:val="0"/>
          <w:color w:val="000000"/>
        </w:rPr>
      </w:pPr>
      <w:r w:rsidRPr="00684101">
        <w:rPr>
          <w:rFonts w:ascii="Calibri" w:hAnsi="Calibri" w:cs="Calibri"/>
          <w:b w:val="0"/>
          <w:color w:val="000000"/>
        </w:rPr>
        <w:t>Dr Paul Cundy</w:t>
      </w:r>
    </w:p>
    <w:p w14:paraId="2A2A039F" w14:textId="77777777" w:rsidR="00942474" w:rsidRPr="00684101" w:rsidRDefault="00942474" w:rsidP="00942474">
      <w:pPr>
        <w:pStyle w:val="Heading1"/>
        <w:rPr>
          <w:rFonts w:ascii="Calibri" w:hAnsi="Calibri" w:cs="Calibri"/>
          <w:b w:val="0"/>
          <w:color w:val="000000"/>
        </w:rPr>
      </w:pPr>
      <w:r w:rsidRPr="00684101">
        <w:rPr>
          <w:rFonts w:ascii="Calibri" w:hAnsi="Calibri" w:cs="Calibri"/>
          <w:b w:val="0"/>
          <w:color w:val="000000"/>
        </w:rPr>
        <w:t>GPC IT Policy Lead</w:t>
      </w:r>
    </w:p>
    <w:p w14:paraId="67F5A684" w14:textId="77777777" w:rsidR="00942474" w:rsidRPr="00684101" w:rsidRDefault="00942474" w:rsidP="00942474">
      <w:pPr>
        <w:pStyle w:val="Heading1"/>
        <w:rPr>
          <w:rFonts w:ascii="Calibri" w:hAnsi="Calibri" w:cs="Calibri"/>
          <w:b w:val="0"/>
          <w:color w:val="000000"/>
        </w:rPr>
      </w:pPr>
      <w:r w:rsidRPr="00684101">
        <w:rPr>
          <w:rFonts w:ascii="Calibri" w:hAnsi="Calibri" w:cs="Calibri"/>
          <w:b w:val="0"/>
          <w:color w:val="000000"/>
        </w:rPr>
        <w:t>GMC 2582641</w:t>
      </w:r>
    </w:p>
    <w:p w14:paraId="0C6509CE" w14:textId="3A5B77C8" w:rsidR="00942474" w:rsidRPr="00684101" w:rsidRDefault="002A4761" w:rsidP="00942474">
      <w:pPr>
        <w:pStyle w:val="Heading1"/>
        <w:rPr>
          <w:rFonts w:ascii="Calibri" w:hAnsi="Calibri" w:cs="Calibri"/>
          <w:b w:val="0"/>
          <w:color w:val="000000"/>
        </w:rPr>
      </w:pPr>
      <w:r>
        <w:rPr>
          <w:rFonts w:ascii="Calibri" w:hAnsi="Calibri" w:cs="Calibri"/>
          <w:b w:val="0"/>
          <w:color w:val="000000"/>
        </w:rPr>
        <w:t xml:space="preserve">Friday </w:t>
      </w:r>
      <w:r w:rsidR="00FD2A16">
        <w:rPr>
          <w:rFonts w:ascii="Calibri" w:hAnsi="Calibri" w:cs="Calibri"/>
          <w:b w:val="0"/>
          <w:color w:val="000000"/>
        </w:rPr>
        <w:t>1</w:t>
      </w:r>
      <w:r>
        <w:rPr>
          <w:rFonts w:ascii="Calibri" w:hAnsi="Calibri" w:cs="Calibri"/>
          <w:b w:val="0"/>
          <w:color w:val="000000"/>
        </w:rPr>
        <w:t>3</w:t>
      </w:r>
      <w:r w:rsidR="00FD2A16">
        <w:rPr>
          <w:rFonts w:ascii="Calibri" w:hAnsi="Calibri" w:cs="Calibri"/>
          <w:b w:val="0"/>
          <w:color w:val="000000"/>
        </w:rPr>
        <w:t>th</w:t>
      </w:r>
      <w:r w:rsidR="008229B3">
        <w:rPr>
          <w:rFonts w:ascii="Calibri" w:hAnsi="Calibri" w:cs="Calibri"/>
          <w:b w:val="0"/>
          <w:color w:val="000000"/>
        </w:rPr>
        <w:t xml:space="preserve"> April </w:t>
      </w:r>
      <w:r w:rsidR="00942474" w:rsidRPr="00684101">
        <w:rPr>
          <w:rFonts w:ascii="Calibri" w:hAnsi="Calibri" w:cs="Calibri"/>
          <w:b w:val="0"/>
          <w:color w:val="000000"/>
        </w:rPr>
        <w:t>2018</w:t>
      </w:r>
    </w:p>
    <w:p w14:paraId="049F31CB" w14:textId="77777777" w:rsidR="000F6140" w:rsidRDefault="000F6140">
      <w:pPr>
        <w:rPr>
          <w:color w:val="000000"/>
        </w:rPr>
      </w:pPr>
    </w:p>
    <w:p w14:paraId="53128261" w14:textId="77777777" w:rsidR="005C36D7" w:rsidRDefault="005C36D7">
      <w:pPr>
        <w:rPr>
          <w:color w:val="000000"/>
        </w:rPr>
      </w:pPr>
    </w:p>
    <w:sectPr w:rsidR="005C36D7" w:rsidSect="00AB0F5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27266"/>
    <w:lvl w:ilvl="0">
      <w:start w:val="1"/>
      <w:numFmt w:val="decimal"/>
      <w:lvlText w:val="%1."/>
      <w:lvlJc w:val="left"/>
      <w:pPr>
        <w:tabs>
          <w:tab w:val="num" w:pos="1492"/>
        </w:tabs>
        <w:ind w:left="1492" w:hanging="360"/>
      </w:pPr>
    </w:lvl>
  </w:abstractNum>
  <w:abstractNum w:abstractNumId="1">
    <w:nsid w:val="FFFFFF7D"/>
    <w:multiLevelType w:val="singleLevel"/>
    <w:tmpl w:val="01B4B2BC"/>
    <w:lvl w:ilvl="0">
      <w:start w:val="1"/>
      <w:numFmt w:val="decimal"/>
      <w:lvlText w:val="%1."/>
      <w:lvlJc w:val="left"/>
      <w:pPr>
        <w:tabs>
          <w:tab w:val="num" w:pos="1209"/>
        </w:tabs>
        <w:ind w:left="1209" w:hanging="360"/>
      </w:pPr>
    </w:lvl>
  </w:abstractNum>
  <w:abstractNum w:abstractNumId="2">
    <w:nsid w:val="FFFFFF7E"/>
    <w:multiLevelType w:val="singleLevel"/>
    <w:tmpl w:val="1E54E654"/>
    <w:lvl w:ilvl="0">
      <w:start w:val="1"/>
      <w:numFmt w:val="decimal"/>
      <w:lvlText w:val="%1."/>
      <w:lvlJc w:val="left"/>
      <w:pPr>
        <w:tabs>
          <w:tab w:val="num" w:pos="926"/>
        </w:tabs>
        <w:ind w:left="926" w:hanging="360"/>
      </w:pPr>
    </w:lvl>
  </w:abstractNum>
  <w:abstractNum w:abstractNumId="3">
    <w:nsid w:val="FFFFFF7F"/>
    <w:multiLevelType w:val="singleLevel"/>
    <w:tmpl w:val="7298C3CC"/>
    <w:lvl w:ilvl="0">
      <w:start w:val="1"/>
      <w:numFmt w:val="decimal"/>
      <w:lvlText w:val="%1."/>
      <w:lvlJc w:val="left"/>
      <w:pPr>
        <w:tabs>
          <w:tab w:val="num" w:pos="643"/>
        </w:tabs>
        <w:ind w:left="643" w:hanging="360"/>
      </w:pPr>
    </w:lvl>
  </w:abstractNum>
  <w:abstractNum w:abstractNumId="4">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145256"/>
    <w:lvl w:ilvl="0">
      <w:start w:val="1"/>
      <w:numFmt w:val="decimal"/>
      <w:lvlText w:val="%1."/>
      <w:lvlJc w:val="left"/>
      <w:pPr>
        <w:tabs>
          <w:tab w:val="num" w:pos="360"/>
        </w:tabs>
        <w:ind w:left="360" w:hanging="360"/>
      </w:pPr>
    </w:lvl>
  </w:abstractNum>
  <w:abstractNum w:abstractNumId="9">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nsid w:val="326E5319"/>
    <w:multiLevelType w:val="multilevel"/>
    <w:tmpl w:val="5C8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8D411A"/>
    <w:multiLevelType w:val="multilevel"/>
    <w:tmpl w:val="7B1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F56464"/>
    <w:multiLevelType w:val="hybridMultilevel"/>
    <w:tmpl w:val="36303E7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46E4255"/>
    <w:multiLevelType w:val="hybridMultilevel"/>
    <w:tmpl w:val="FED6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45B26"/>
    <w:multiLevelType w:val="multilevel"/>
    <w:tmpl w:val="0C0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463960"/>
    <w:multiLevelType w:val="hybridMultilevel"/>
    <w:tmpl w:val="6E44C8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40"/>
    <w:rsid w:val="000752DC"/>
    <w:rsid w:val="000A45E3"/>
    <w:rsid w:val="000A5B91"/>
    <w:rsid w:val="000F6140"/>
    <w:rsid w:val="00111E66"/>
    <w:rsid w:val="001C2513"/>
    <w:rsid w:val="001F3561"/>
    <w:rsid w:val="00275C19"/>
    <w:rsid w:val="00287D4C"/>
    <w:rsid w:val="002A2032"/>
    <w:rsid w:val="002A328E"/>
    <w:rsid w:val="002A4761"/>
    <w:rsid w:val="002C1079"/>
    <w:rsid w:val="002C316B"/>
    <w:rsid w:val="00366A07"/>
    <w:rsid w:val="003E4962"/>
    <w:rsid w:val="003F7250"/>
    <w:rsid w:val="004034FD"/>
    <w:rsid w:val="004437E9"/>
    <w:rsid w:val="0049511A"/>
    <w:rsid w:val="0049662E"/>
    <w:rsid w:val="004A39B4"/>
    <w:rsid w:val="004D6C96"/>
    <w:rsid w:val="004D7AC6"/>
    <w:rsid w:val="00506632"/>
    <w:rsid w:val="0055221E"/>
    <w:rsid w:val="0055229C"/>
    <w:rsid w:val="005C36D7"/>
    <w:rsid w:val="005C5C01"/>
    <w:rsid w:val="00684101"/>
    <w:rsid w:val="00684F6B"/>
    <w:rsid w:val="006A61BE"/>
    <w:rsid w:val="006D7792"/>
    <w:rsid w:val="0071135A"/>
    <w:rsid w:val="007411B5"/>
    <w:rsid w:val="00765E36"/>
    <w:rsid w:val="00774A3F"/>
    <w:rsid w:val="007C269F"/>
    <w:rsid w:val="007F18A3"/>
    <w:rsid w:val="008229B3"/>
    <w:rsid w:val="008B5313"/>
    <w:rsid w:val="008B71A7"/>
    <w:rsid w:val="00942474"/>
    <w:rsid w:val="00944177"/>
    <w:rsid w:val="00981F9A"/>
    <w:rsid w:val="009D074A"/>
    <w:rsid w:val="009D7DD4"/>
    <w:rsid w:val="00A76000"/>
    <w:rsid w:val="00A77210"/>
    <w:rsid w:val="00AB0F50"/>
    <w:rsid w:val="00AB256C"/>
    <w:rsid w:val="00AC5366"/>
    <w:rsid w:val="00AE2F81"/>
    <w:rsid w:val="00AE4672"/>
    <w:rsid w:val="00AE7856"/>
    <w:rsid w:val="00B02A17"/>
    <w:rsid w:val="00B33D62"/>
    <w:rsid w:val="00B445F3"/>
    <w:rsid w:val="00BC4A07"/>
    <w:rsid w:val="00BF55EC"/>
    <w:rsid w:val="00BF6D65"/>
    <w:rsid w:val="00CC00C5"/>
    <w:rsid w:val="00D0451E"/>
    <w:rsid w:val="00D11C5C"/>
    <w:rsid w:val="00D32D78"/>
    <w:rsid w:val="00D57A08"/>
    <w:rsid w:val="00D808C6"/>
    <w:rsid w:val="00D86531"/>
    <w:rsid w:val="00DD674E"/>
    <w:rsid w:val="00DD78E7"/>
    <w:rsid w:val="00E13EEB"/>
    <w:rsid w:val="00F5224E"/>
    <w:rsid w:val="00FC64EB"/>
    <w:rsid w:val="00FD2A16"/>
    <w:rsid w:val="00FD62C0"/>
    <w:rsid w:val="73492B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qFormat/>
    <w:rsid w:val="009D074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character" w:customStyle="1" w:styleId="Heading3Char">
    <w:name w:val="Heading 3 Char"/>
    <w:link w:val="Heading3"/>
    <w:uiPriority w:val="9"/>
    <w:semiHidden/>
    <w:rsid w:val="009D074A"/>
    <w:rPr>
      <w:rFonts w:ascii="Calibri Light" w:eastAsia="Times New Roman" w:hAnsi="Calibri Light" w:cs="Times New Roman"/>
      <w:b/>
      <w:bCs/>
      <w:sz w:val="26"/>
      <w:szCs w:val="26"/>
      <w:lang w:eastAsia="en-US"/>
    </w:rPr>
  </w:style>
  <w:style w:type="paragraph" w:styleId="NormalWeb">
    <w:name w:val="Normal (Web)"/>
    <w:basedOn w:val="Normal"/>
    <w:uiPriority w:val="99"/>
    <w:unhideWhenUsed/>
    <w:rsid w:val="009D074A"/>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506632"/>
    <w:rPr>
      <w:sz w:val="16"/>
      <w:szCs w:val="16"/>
    </w:rPr>
  </w:style>
  <w:style w:type="paragraph" w:styleId="CommentText">
    <w:name w:val="annotation text"/>
    <w:basedOn w:val="Normal"/>
    <w:link w:val="CommentTextChar"/>
    <w:uiPriority w:val="99"/>
    <w:semiHidden/>
    <w:unhideWhenUsed/>
    <w:rsid w:val="00506632"/>
    <w:rPr>
      <w:sz w:val="20"/>
      <w:szCs w:val="20"/>
    </w:rPr>
  </w:style>
  <w:style w:type="character" w:customStyle="1" w:styleId="CommentTextChar">
    <w:name w:val="Comment Text Char"/>
    <w:link w:val="CommentText"/>
    <w:uiPriority w:val="99"/>
    <w:semiHidden/>
    <w:rsid w:val="00506632"/>
    <w:rPr>
      <w:lang w:eastAsia="en-US"/>
    </w:rPr>
  </w:style>
  <w:style w:type="paragraph" w:styleId="CommentSubject">
    <w:name w:val="annotation subject"/>
    <w:basedOn w:val="CommentText"/>
    <w:next w:val="CommentText"/>
    <w:link w:val="CommentSubjectChar"/>
    <w:uiPriority w:val="99"/>
    <w:semiHidden/>
    <w:unhideWhenUsed/>
    <w:rsid w:val="00506632"/>
    <w:rPr>
      <w:b/>
      <w:bCs/>
    </w:rPr>
  </w:style>
  <w:style w:type="character" w:customStyle="1" w:styleId="CommentSubjectChar">
    <w:name w:val="Comment Subject Char"/>
    <w:link w:val="CommentSubject"/>
    <w:uiPriority w:val="99"/>
    <w:semiHidden/>
    <w:rsid w:val="00506632"/>
    <w:rPr>
      <w:b/>
      <w:bCs/>
      <w:lang w:eastAsia="en-US"/>
    </w:rPr>
  </w:style>
  <w:style w:type="paragraph" w:styleId="BalloonText">
    <w:name w:val="Balloon Text"/>
    <w:basedOn w:val="Normal"/>
    <w:link w:val="BalloonTextChar"/>
    <w:uiPriority w:val="99"/>
    <w:semiHidden/>
    <w:unhideWhenUsed/>
    <w:rsid w:val="00506632"/>
    <w:rPr>
      <w:rFonts w:ascii="Segoe UI" w:hAnsi="Segoe UI" w:cs="Segoe UI"/>
      <w:sz w:val="18"/>
      <w:szCs w:val="18"/>
    </w:rPr>
  </w:style>
  <w:style w:type="character" w:customStyle="1" w:styleId="BalloonTextChar">
    <w:name w:val="Balloon Text Char"/>
    <w:link w:val="BalloonText"/>
    <w:uiPriority w:val="99"/>
    <w:semiHidden/>
    <w:rsid w:val="00506632"/>
    <w:rPr>
      <w:rFonts w:ascii="Segoe UI" w:hAnsi="Segoe UI" w:cs="Segoe UI"/>
      <w:sz w:val="18"/>
      <w:szCs w:val="18"/>
      <w:lang w:eastAsia="en-US"/>
    </w:rPr>
  </w:style>
  <w:style w:type="character" w:customStyle="1" w:styleId="UnresolvedMention">
    <w:name w:val="Unresolved Mention"/>
    <w:uiPriority w:val="99"/>
    <w:semiHidden/>
    <w:unhideWhenUsed/>
    <w:rsid w:val="00506632"/>
    <w:rPr>
      <w:color w:val="808080"/>
      <w:shd w:val="clear" w:color="auto" w:fill="E6E6E6"/>
    </w:rPr>
  </w:style>
  <w:style w:type="character" w:styleId="FollowedHyperlink">
    <w:name w:val="FollowedHyperlink"/>
    <w:basedOn w:val="DefaultParagraphFont"/>
    <w:uiPriority w:val="99"/>
    <w:semiHidden/>
    <w:unhideWhenUsed/>
    <w:rsid w:val="006D779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qFormat/>
    <w:rsid w:val="009D074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character" w:customStyle="1" w:styleId="Heading3Char">
    <w:name w:val="Heading 3 Char"/>
    <w:link w:val="Heading3"/>
    <w:uiPriority w:val="9"/>
    <w:semiHidden/>
    <w:rsid w:val="009D074A"/>
    <w:rPr>
      <w:rFonts w:ascii="Calibri Light" w:eastAsia="Times New Roman" w:hAnsi="Calibri Light" w:cs="Times New Roman"/>
      <w:b/>
      <w:bCs/>
      <w:sz w:val="26"/>
      <w:szCs w:val="26"/>
      <w:lang w:eastAsia="en-US"/>
    </w:rPr>
  </w:style>
  <w:style w:type="paragraph" w:styleId="NormalWeb">
    <w:name w:val="Normal (Web)"/>
    <w:basedOn w:val="Normal"/>
    <w:uiPriority w:val="99"/>
    <w:unhideWhenUsed/>
    <w:rsid w:val="009D074A"/>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506632"/>
    <w:rPr>
      <w:sz w:val="16"/>
      <w:szCs w:val="16"/>
    </w:rPr>
  </w:style>
  <w:style w:type="paragraph" w:styleId="CommentText">
    <w:name w:val="annotation text"/>
    <w:basedOn w:val="Normal"/>
    <w:link w:val="CommentTextChar"/>
    <w:uiPriority w:val="99"/>
    <w:semiHidden/>
    <w:unhideWhenUsed/>
    <w:rsid w:val="00506632"/>
    <w:rPr>
      <w:sz w:val="20"/>
      <w:szCs w:val="20"/>
    </w:rPr>
  </w:style>
  <w:style w:type="character" w:customStyle="1" w:styleId="CommentTextChar">
    <w:name w:val="Comment Text Char"/>
    <w:link w:val="CommentText"/>
    <w:uiPriority w:val="99"/>
    <w:semiHidden/>
    <w:rsid w:val="00506632"/>
    <w:rPr>
      <w:lang w:eastAsia="en-US"/>
    </w:rPr>
  </w:style>
  <w:style w:type="paragraph" w:styleId="CommentSubject">
    <w:name w:val="annotation subject"/>
    <w:basedOn w:val="CommentText"/>
    <w:next w:val="CommentText"/>
    <w:link w:val="CommentSubjectChar"/>
    <w:uiPriority w:val="99"/>
    <w:semiHidden/>
    <w:unhideWhenUsed/>
    <w:rsid w:val="00506632"/>
    <w:rPr>
      <w:b/>
      <w:bCs/>
    </w:rPr>
  </w:style>
  <w:style w:type="character" w:customStyle="1" w:styleId="CommentSubjectChar">
    <w:name w:val="Comment Subject Char"/>
    <w:link w:val="CommentSubject"/>
    <w:uiPriority w:val="99"/>
    <w:semiHidden/>
    <w:rsid w:val="00506632"/>
    <w:rPr>
      <w:b/>
      <w:bCs/>
      <w:lang w:eastAsia="en-US"/>
    </w:rPr>
  </w:style>
  <w:style w:type="paragraph" w:styleId="BalloonText">
    <w:name w:val="Balloon Text"/>
    <w:basedOn w:val="Normal"/>
    <w:link w:val="BalloonTextChar"/>
    <w:uiPriority w:val="99"/>
    <w:semiHidden/>
    <w:unhideWhenUsed/>
    <w:rsid w:val="00506632"/>
    <w:rPr>
      <w:rFonts w:ascii="Segoe UI" w:hAnsi="Segoe UI" w:cs="Segoe UI"/>
      <w:sz w:val="18"/>
      <w:szCs w:val="18"/>
    </w:rPr>
  </w:style>
  <w:style w:type="character" w:customStyle="1" w:styleId="BalloonTextChar">
    <w:name w:val="Balloon Text Char"/>
    <w:link w:val="BalloonText"/>
    <w:uiPriority w:val="99"/>
    <w:semiHidden/>
    <w:rsid w:val="00506632"/>
    <w:rPr>
      <w:rFonts w:ascii="Segoe UI" w:hAnsi="Segoe UI" w:cs="Segoe UI"/>
      <w:sz w:val="18"/>
      <w:szCs w:val="18"/>
      <w:lang w:eastAsia="en-US"/>
    </w:rPr>
  </w:style>
  <w:style w:type="character" w:customStyle="1" w:styleId="UnresolvedMention">
    <w:name w:val="Unresolved Mention"/>
    <w:uiPriority w:val="99"/>
    <w:semiHidden/>
    <w:unhideWhenUsed/>
    <w:rsid w:val="00506632"/>
    <w:rPr>
      <w:color w:val="808080"/>
      <w:shd w:val="clear" w:color="auto" w:fill="E6E6E6"/>
    </w:rPr>
  </w:style>
  <w:style w:type="character" w:styleId="FollowedHyperlink">
    <w:name w:val="FollowedHyperlink"/>
    <w:basedOn w:val="DefaultParagraphFont"/>
    <w:uiPriority w:val="99"/>
    <w:semiHidden/>
    <w:unhideWhenUsed/>
    <w:rsid w:val="006D7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794255657">
      <w:bodyDiv w:val="1"/>
      <w:marLeft w:val="0"/>
      <w:marRight w:val="0"/>
      <w:marTop w:val="0"/>
      <w:marBottom w:val="0"/>
      <w:divBdr>
        <w:top w:val="none" w:sz="0" w:space="0" w:color="auto"/>
        <w:left w:val="none" w:sz="0" w:space="0" w:color="auto"/>
        <w:bottom w:val="none" w:sz="0" w:space="0" w:color="auto"/>
        <w:right w:val="none" w:sz="0" w:space="0" w:color="auto"/>
      </w:divBdr>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6309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good-practice-guidelines-for-gp-electronic-patient-records-version-4-2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creator>Paul Cundy</dc:creator>
  <cp:lastModifiedBy>Gibbs David - Derbyshire LMC</cp:lastModifiedBy>
  <cp:revision>2</cp:revision>
  <dcterms:created xsi:type="dcterms:W3CDTF">2018-04-16T07:55:00Z</dcterms:created>
  <dcterms:modified xsi:type="dcterms:W3CDTF">2018-04-16T07:55:00Z</dcterms:modified>
</cp:coreProperties>
</file>