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D3" w:rsidRPr="001D54FC" w:rsidRDefault="00075CD3">
      <w:pPr>
        <w:rPr>
          <w:rFonts w:ascii="Arial" w:hAnsi="Arial" w:cs="Arial"/>
          <w:b/>
          <w:sz w:val="28"/>
          <w:szCs w:val="28"/>
        </w:rPr>
      </w:pPr>
      <w:r w:rsidRPr="001D54FC">
        <w:rPr>
          <w:rFonts w:ascii="Arial" w:hAnsi="Arial" w:cs="Arial"/>
          <w:b/>
          <w:sz w:val="28"/>
          <w:szCs w:val="28"/>
        </w:rPr>
        <w:t xml:space="preserve">Minor </w:t>
      </w:r>
      <w:r w:rsidR="00356955" w:rsidRPr="001D54FC">
        <w:rPr>
          <w:rFonts w:ascii="Arial" w:hAnsi="Arial" w:cs="Arial"/>
          <w:b/>
          <w:sz w:val="28"/>
          <w:szCs w:val="28"/>
        </w:rPr>
        <w:t>E</w:t>
      </w:r>
      <w:r w:rsidRPr="001D54FC">
        <w:rPr>
          <w:rFonts w:ascii="Arial" w:hAnsi="Arial" w:cs="Arial"/>
          <w:b/>
          <w:sz w:val="28"/>
          <w:szCs w:val="28"/>
        </w:rPr>
        <w:t xml:space="preserve">ye </w:t>
      </w:r>
      <w:r w:rsidR="00356955" w:rsidRPr="001D54FC">
        <w:rPr>
          <w:rFonts w:ascii="Arial" w:hAnsi="Arial" w:cs="Arial"/>
          <w:b/>
          <w:sz w:val="28"/>
          <w:szCs w:val="28"/>
        </w:rPr>
        <w:t>C</w:t>
      </w:r>
      <w:r w:rsidRPr="001D54FC">
        <w:rPr>
          <w:rFonts w:ascii="Arial" w:hAnsi="Arial" w:cs="Arial"/>
          <w:b/>
          <w:sz w:val="28"/>
          <w:szCs w:val="28"/>
        </w:rPr>
        <w:t>onditions</w:t>
      </w:r>
      <w:r w:rsidR="00356955" w:rsidRPr="001D54FC">
        <w:rPr>
          <w:rFonts w:ascii="Arial" w:hAnsi="Arial" w:cs="Arial"/>
          <w:b/>
          <w:sz w:val="28"/>
          <w:szCs w:val="28"/>
        </w:rPr>
        <w:t xml:space="preserve"> (MECs)</w:t>
      </w:r>
    </w:p>
    <w:p w:rsidR="00075CD3" w:rsidRPr="001D54FC" w:rsidRDefault="00075CD3">
      <w:pPr>
        <w:rPr>
          <w:rFonts w:ascii="Arial" w:hAnsi="Arial" w:cs="Arial"/>
          <w:b/>
        </w:rPr>
      </w:pPr>
      <w:r w:rsidRPr="001D54FC">
        <w:rPr>
          <w:rFonts w:ascii="Arial" w:hAnsi="Arial" w:cs="Arial"/>
          <w:b/>
        </w:rPr>
        <w:t>Temporary expansion of pilot</w:t>
      </w:r>
      <w:r w:rsidR="00126DE4" w:rsidRPr="001D54FC">
        <w:rPr>
          <w:rFonts w:ascii="Arial" w:hAnsi="Arial" w:cs="Arial"/>
          <w:b/>
        </w:rPr>
        <w:t xml:space="preserve"> </w:t>
      </w:r>
      <w:r w:rsidR="00C47EE6" w:rsidRPr="001D54FC">
        <w:rPr>
          <w:rFonts w:ascii="Arial" w:hAnsi="Arial" w:cs="Arial"/>
          <w:b/>
        </w:rPr>
        <w:t xml:space="preserve">- </w:t>
      </w:r>
      <w:r w:rsidR="00126DE4" w:rsidRPr="001D54FC">
        <w:rPr>
          <w:rFonts w:ascii="Arial" w:hAnsi="Arial" w:cs="Arial"/>
          <w:b/>
        </w:rPr>
        <w:t>COVID</w:t>
      </w:r>
      <w:r w:rsidR="00C47EE6" w:rsidRPr="001D54FC">
        <w:rPr>
          <w:rFonts w:ascii="Arial" w:hAnsi="Arial" w:cs="Arial"/>
          <w:b/>
        </w:rPr>
        <w:t xml:space="preserve">-19 response </w:t>
      </w:r>
    </w:p>
    <w:p w:rsidR="00AF1365" w:rsidRPr="001D54FC" w:rsidRDefault="004E001C">
      <w:pPr>
        <w:rPr>
          <w:rFonts w:ascii="Arial" w:hAnsi="Arial" w:cs="Arial"/>
          <w:b/>
        </w:rPr>
      </w:pPr>
      <w:r w:rsidRPr="001D54FC">
        <w:rPr>
          <w:rFonts w:ascii="Arial" w:hAnsi="Arial" w:cs="Arial"/>
          <w:b/>
        </w:rPr>
        <w:t>Information for GPs</w:t>
      </w:r>
    </w:p>
    <w:p w:rsidR="00900080" w:rsidRPr="001D54FC" w:rsidRDefault="00900080" w:rsidP="00900080">
      <w:pPr>
        <w:rPr>
          <w:rFonts w:ascii="Arial" w:hAnsi="Arial" w:cs="Arial"/>
        </w:rPr>
      </w:pPr>
      <w:r w:rsidRPr="001D54FC">
        <w:rPr>
          <w:rFonts w:ascii="Arial" w:hAnsi="Arial" w:cs="Arial"/>
        </w:rPr>
        <w:t xml:space="preserve">To assist with the current pressures in GP Practices and Hospitals, the CCG is </w:t>
      </w:r>
      <w:r w:rsidR="00391C32" w:rsidRPr="001D54FC">
        <w:rPr>
          <w:rFonts w:ascii="Arial" w:hAnsi="Arial" w:cs="Arial"/>
        </w:rPr>
        <w:t>temporarily</w:t>
      </w:r>
      <w:r w:rsidR="00391C32" w:rsidRPr="001D54FC">
        <w:rPr>
          <w:rFonts w:ascii="Arial" w:hAnsi="Arial" w:cs="Arial"/>
          <w:color w:val="FF0000"/>
        </w:rPr>
        <w:t xml:space="preserve"> </w:t>
      </w:r>
      <w:r w:rsidRPr="001D54FC">
        <w:rPr>
          <w:rFonts w:ascii="Arial" w:hAnsi="Arial" w:cs="Arial"/>
        </w:rPr>
        <w:t xml:space="preserve">expanding the Minor Eye Conditions </w:t>
      </w:r>
      <w:r w:rsidR="00C47EE6" w:rsidRPr="001D54FC">
        <w:rPr>
          <w:rFonts w:ascii="Arial" w:hAnsi="Arial" w:cs="Arial"/>
        </w:rPr>
        <w:t xml:space="preserve">(MECS) </w:t>
      </w:r>
      <w:r w:rsidRPr="001D54FC">
        <w:rPr>
          <w:rFonts w:ascii="Arial" w:hAnsi="Arial" w:cs="Arial"/>
        </w:rPr>
        <w:t>Pilot Service to enable GP Practices to signpost patients at the point of triage to a number of Opticians in the area that will be able</w:t>
      </w:r>
      <w:r w:rsidR="00283485" w:rsidRPr="001D54FC">
        <w:rPr>
          <w:rFonts w:ascii="Arial" w:hAnsi="Arial" w:cs="Arial"/>
        </w:rPr>
        <w:t xml:space="preserve"> to triage them via telephone / video call</w:t>
      </w:r>
      <w:r w:rsidRPr="001D54FC">
        <w:rPr>
          <w:rFonts w:ascii="Arial" w:hAnsi="Arial" w:cs="Arial"/>
        </w:rPr>
        <w:t>.</w:t>
      </w:r>
    </w:p>
    <w:p w:rsidR="00573581" w:rsidRPr="001D54FC" w:rsidRDefault="00573581" w:rsidP="00900080">
      <w:pPr>
        <w:rPr>
          <w:rFonts w:ascii="Arial" w:hAnsi="Arial" w:cs="Arial"/>
        </w:rPr>
      </w:pPr>
      <w:r w:rsidRPr="001D54FC">
        <w:rPr>
          <w:rFonts w:ascii="Arial" w:hAnsi="Arial" w:cs="Arial"/>
        </w:rPr>
        <w:t>Further</w:t>
      </w:r>
      <w:r w:rsidR="00391C32" w:rsidRPr="001D54FC">
        <w:rPr>
          <w:rFonts w:ascii="Arial" w:hAnsi="Arial" w:cs="Arial"/>
        </w:rPr>
        <w:t xml:space="preserve"> details</w:t>
      </w:r>
      <w:r w:rsidR="00391C32" w:rsidRPr="001D54FC">
        <w:rPr>
          <w:rFonts w:ascii="Arial" w:hAnsi="Arial" w:cs="Arial"/>
          <w:color w:val="FF0000"/>
        </w:rPr>
        <w:t xml:space="preserve"> </w:t>
      </w:r>
      <w:r w:rsidRPr="001D54FC">
        <w:rPr>
          <w:rFonts w:ascii="Arial" w:hAnsi="Arial" w:cs="Arial"/>
        </w:rPr>
        <w:t>including a</w:t>
      </w:r>
      <w:r w:rsidR="00900080" w:rsidRPr="001D54FC">
        <w:rPr>
          <w:rFonts w:ascii="Arial" w:hAnsi="Arial" w:cs="Arial"/>
        </w:rPr>
        <w:t xml:space="preserve"> </w:t>
      </w:r>
      <w:r w:rsidR="00356955" w:rsidRPr="001D54FC">
        <w:rPr>
          <w:rFonts w:ascii="Arial" w:hAnsi="Arial" w:cs="Arial"/>
        </w:rPr>
        <w:t>P</w:t>
      </w:r>
      <w:r w:rsidR="00900080" w:rsidRPr="001D54FC">
        <w:rPr>
          <w:rFonts w:ascii="Arial" w:hAnsi="Arial" w:cs="Arial"/>
        </w:rPr>
        <w:t xml:space="preserve">athway </w:t>
      </w:r>
      <w:r w:rsidR="004D41D7" w:rsidRPr="001D54FC">
        <w:rPr>
          <w:rFonts w:ascii="Arial" w:hAnsi="Arial" w:cs="Arial"/>
        </w:rPr>
        <w:t xml:space="preserve">can be found below. It </w:t>
      </w:r>
      <w:r w:rsidR="00900080" w:rsidRPr="001D54FC">
        <w:rPr>
          <w:rFonts w:ascii="Arial" w:hAnsi="Arial" w:cs="Arial"/>
        </w:rPr>
        <w:t xml:space="preserve">still allows for GPs to refer </w:t>
      </w:r>
      <w:r w:rsidRPr="001D54FC">
        <w:rPr>
          <w:rFonts w:ascii="Arial" w:hAnsi="Arial" w:cs="Arial"/>
        </w:rPr>
        <w:t xml:space="preserve">directly </w:t>
      </w:r>
      <w:r w:rsidR="00900080" w:rsidRPr="001D54FC">
        <w:rPr>
          <w:rFonts w:ascii="Arial" w:hAnsi="Arial" w:cs="Arial"/>
        </w:rPr>
        <w:t xml:space="preserve">to Secondary Care </w:t>
      </w:r>
      <w:r w:rsidR="004D41D7" w:rsidRPr="001D54FC">
        <w:rPr>
          <w:rFonts w:ascii="Arial" w:hAnsi="Arial" w:cs="Arial"/>
        </w:rPr>
        <w:t>for patients who need it</w:t>
      </w:r>
      <w:r w:rsidR="00C47EE6" w:rsidRPr="001D54FC">
        <w:rPr>
          <w:rFonts w:ascii="Arial" w:hAnsi="Arial" w:cs="Arial"/>
        </w:rPr>
        <w:t>,</w:t>
      </w:r>
      <w:r w:rsidR="004D41D7" w:rsidRPr="001D54FC">
        <w:rPr>
          <w:rFonts w:ascii="Arial" w:hAnsi="Arial" w:cs="Arial"/>
        </w:rPr>
        <w:t xml:space="preserve"> </w:t>
      </w:r>
      <w:r w:rsidR="00900080" w:rsidRPr="001D54FC">
        <w:rPr>
          <w:rFonts w:ascii="Arial" w:hAnsi="Arial" w:cs="Arial"/>
        </w:rPr>
        <w:t>but we hope</w:t>
      </w:r>
      <w:r w:rsidR="004D41D7" w:rsidRPr="001D54FC">
        <w:rPr>
          <w:rFonts w:ascii="Arial" w:hAnsi="Arial" w:cs="Arial"/>
        </w:rPr>
        <w:t xml:space="preserve"> </w:t>
      </w:r>
      <w:r w:rsidRPr="001D54FC">
        <w:rPr>
          <w:rFonts w:ascii="Arial" w:hAnsi="Arial" w:cs="Arial"/>
        </w:rPr>
        <w:t xml:space="preserve">by offering the triage service </w:t>
      </w:r>
      <w:r w:rsidR="00900080" w:rsidRPr="001D54FC">
        <w:rPr>
          <w:rFonts w:ascii="Arial" w:hAnsi="Arial" w:cs="Arial"/>
        </w:rPr>
        <w:t>it will allevi</w:t>
      </w:r>
      <w:r w:rsidRPr="001D54FC">
        <w:rPr>
          <w:rFonts w:ascii="Arial" w:hAnsi="Arial" w:cs="Arial"/>
        </w:rPr>
        <w:t>ate pr</w:t>
      </w:r>
      <w:r w:rsidR="00391C32" w:rsidRPr="001D54FC">
        <w:rPr>
          <w:rFonts w:ascii="Arial" w:hAnsi="Arial" w:cs="Arial"/>
        </w:rPr>
        <w:t>essure on your service.</w:t>
      </w:r>
    </w:p>
    <w:p w:rsidR="001D54FC" w:rsidRPr="001D54FC" w:rsidRDefault="001D54FC" w:rsidP="00900080">
      <w:pPr>
        <w:rPr>
          <w:rFonts w:ascii="Arial" w:hAnsi="Arial" w:cs="Arial"/>
        </w:rPr>
      </w:pPr>
      <w:r w:rsidRPr="001D54FC">
        <w:rPr>
          <w:rFonts w:ascii="Arial" w:hAnsi="Arial" w:cs="Arial"/>
        </w:rPr>
        <w:t>Following an initial successful two week pilot this service is now</w:t>
      </w:r>
      <w:r w:rsidR="00573581" w:rsidRPr="001D54FC">
        <w:rPr>
          <w:rFonts w:ascii="Arial" w:hAnsi="Arial" w:cs="Arial"/>
        </w:rPr>
        <w:t xml:space="preserve"> roll</w:t>
      </w:r>
      <w:r w:rsidRPr="001D54FC">
        <w:rPr>
          <w:rFonts w:ascii="Arial" w:hAnsi="Arial" w:cs="Arial"/>
        </w:rPr>
        <w:t xml:space="preserve">ing </w:t>
      </w:r>
      <w:r w:rsidR="00573581" w:rsidRPr="001D54FC">
        <w:rPr>
          <w:rFonts w:ascii="Arial" w:hAnsi="Arial" w:cs="Arial"/>
        </w:rPr>
        <w:t>out across Derby and Derbyshire</w:t>
      </w:r>
      <w:r w:rsidR="00C47EE6" w:rsidRPr="001D54FC">
        <w:rPr>
          <w:rFonts w:ascii="Arial" w:hAnsi="Arial" w:cs="Arial"/>
        </w:rPr>
        <w:t xml:space="preserve"> as a temporary pathway change in response to COVID-19.</w:t>
      </w:r>
      <w:r w:rsidR="00391C32" w:rsidRPr="001D54FC">
        <w:rPr>
          <w:rFonts w:ascii="Arial" w:hAnsi="Arial" w:cs="Arial"/>
        </w:rPr>
        <w:t xml:space="preserve">  We have also received guidance from NHS England that require</w:t>
      </w:r>
      <w:r w:rsidR="002B074E">
        <w:rPr>
          <w:rFonts w:ascii="Arial" w:hAnsi="Arial" w:cs="Arial"/>
        </w:rPr>
        <w:t>s</w:t>
      </w:r>
      <w:r w:rsidR="00391C32" w:rsidRPr="001D54FC">
        <w:rPr>
          <w:rFonts w:ascii="Arial" w:hAnsi="Arial" w:cs="Arial"/>
        </w:rPr>
        <w:t xml:space="preserve"> “red” and “green” sites </w:t>
      </w:r>
      <w:r w:rsidR="00A60A82" w:rsidRPr="001D54FC">
        <w:rPr>
          <w:rFonts w:ascii="Arial" w:hAnsi="Arial" w:cs="Arial"/>
        </w:rPr>
        <w:t>(hot/cold)</w:t>
      </w:r>
      <w:r w:rsidR="006158BA">
        <w:rPr>
          <w:rFonts w:ascii="Arial" w:hAnsi="Arial" w:cs="Arial"/>
        </w:rPr>
        <w:t xml:space="preserve"> </w:t>
      </w:r>
      <w:r w:rsidR="006158BA" w:rsidRPr="006158BA">
        <w:rPr>
          <w:rFonts w:ascii="Arial" w:hAnsi="Arial" w:cs="Arial"/>
        </w:rPr>
        <w:t>for Optometrist practices to see patients presenting with urgent eye conditions directly, w</w:t>
      </w:r>
      <w:r w:rsidR="006158BA">
        <w:rPr>
          <w:rFonts w:ascii="Arial" w:hAnsi="Arial" w:cs="Arial"/>
        </w:rPr>
        <w:t>ith appropriate PPE precautions</w:t>
      </w:r>
      <w:r w:rsidR="006158BA" w:rsidRPr="006158BA">
        <w:rPr>
          <w:rFonts w:ascii="Arial" w:hAnsi="Arial" w:cs="Arial"/>
        </w:rPr>
        <w:t>.</w:t>
      </w:r>
      <w:r w:rsidR="00A60A82" w:rsidRPr="001D54FC">
        <w:rPr>
          <w:rFonts w:ascii="Arial" w:hAnsi="Arial" w:cs="Arial"/>
        </w:rPr>
        <w:t xml:space="preserve"> </w:t>
      </w:r>
    </w:p>
    <w:p w:rsidR="001D54FC" w:rsidRPr="001D54FC" w:rsidRDefault="001D54FC" w:rsidP="00900080">
      <w:pPr>
        <w:rPr>
          <w:rFonts w:ascii="Arial" w:hAnsi="Arial" w:cs="Arial"/>
        </w:rPr>
      </w:pPr>
      <w:r w:rsidRPr="001D54FC">
        <w:rPr>
          <w:rFonts w:ascii="Arial" w:hAnsi="Arial" w:cs="Arial"/>
        </w:rPr>
        <w:t>You can find evaluation of the pilot below for your information.</w:t>
      </w:r>
    </w:p>
    <w:p w:rsidR="001D54FC" w:rsidRPr="001D54FC" w:rsidRDefault="001D54FC" w:rsidP="001D54FC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color w:val="000000"/>
        </w:rPr>
        <w:t xml:space="preserve">The data has been collected from all 9 practices </w:t>
      </w:r>
      <w:r w:rsidR="00B37188">
        <w:rPr>
          <w:rFonts w:ascii="Arial" w:hAnsi="Arial" w:cs="Arial"/>
          <w:color w:val="000000"/>
        </w:rPr>
        <w:t>in</w:t>
      </w:r>
      <w:r w:rsidRPr="001D54FC">
        <w:rPr>
          <w:rFonts w:ascii="Arial" w:hAnsi="Arial" w:cs="Arial"/>
          <w:color w:val="000000"/>
        </w:rPr>
        <w:t xml:space="preserve"> North East Derbyshire who have been involved in the pilot and these are; Specsavers at Chesterfield, Matlock, Norton and Crystal Peaks, Vision Express in Chesterfield, Hope Valley Opticians (</w:t>
      </w:r>
      <w:proofErr w:type="spellStart"/>
      <w:r w:rsidRPr="001D54FC">
        <w:rPr>
          <w:rFonts w:ascii="Arial" w:hAnsi="Arial" w:cs="Arial"/>
          <w:color w:val="000000"/>
        </w:rPr>
        <w:t>Hathersage</w:t>
      </w:r>
      <w:proofErr w:type="spellEnd"/>
      <w:r w:rsidRPr="001D54FC">
        <w:rPr>
          <w:rFonts w:ascii="Arial" w:hAnsi="Arial" w:cs="Arial"/>
          <w:color w:val="000000"/>
        </w:rPr>
        <w:t>), Elliott &amp; Heath (Chesterfield), Thomas &amp; Holloway (</w:t>
      </w:r>
      <w:proofErr w:type="spellStart"/>
      <w:r w:rsidRPr="001D54FC">
        <w:rPr>
          <w:rFonts w:ascii="Arial" w:hAnsi="Arial" w:cs="Arial"/>
          <w:color w:val="000000"/>
        </w:rPr>
        <w:t>Dronfield</w:t>
      </w:r>
      <w:proofErr w:type="spellEnd"/>
      <w:r w:rsidRPr="001D54FC">
        <w:rPr>
          <w:rFonts w:ascii="Arial" w:hAnsi="Arial" w:cs="Arial"/>
          <w:color w:val="000000"/>
        </w:rPr>
        <w:t xml:space="preserve">), and </w:t>
      </w:r>
      <w:proofErr w:type="spellStart"/>
      <w:r w:rsidRPr="001D54FC">
        <w:rPr>
          <w:rFonts w:ascii="Arial" w:hAnsi="Arial" w:cs="Arial"/>
          <w:color w:val="000000"/>
        </w:rPr>
        <w:t>Murgatroyd</w:t>
      </w:r>
      <w:proofErr w:type="spellEnd"/>
      <w:r w:rsidRPr="001D54FC">
        <w:rPr>
          <w:rFonts w:ascii="Arial" w:hAnsi="Arial" w:cs="Arial"/>
          <w:color w:val="000000"/>
        </w:rPr>
        <w:t>-Holmes (Staveley).</w:t>
      </w:r>
    </w:p>
    <w:p w:rsidR="001D54FC" w:rsidRPr="001D54FC" w:rsidRDefault="001D54FC" w:rsidP="001D54FC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color w:val="000000"/>
        </w:rPr>
        <w:t xml:space="preserve">Data shown for the 7 day period Thursday 23rd - Wednesday 29th April (inclusive), </w:t>
      </w:r>
      <w:r w:rsidRPr="001D54FC">
        <w:rPr>
          <w:rFonts w:ascii="Arial" w:hAnsi="Arial" w:cs="Arial"/>
          <w:b/>
          <w:bCs/>
          <w:color w:val="000000"/>
        </w:rPr>
        <w:t>55 patients</w:t>
      </w:r>
      <w:r w:rsidRPr="001D54FC">
        <w:rPr>
          <w:rFonts w:ascii="Arial" w:hAnsi="Arial" w:cs="Arial"/>
          <w:color w:val="000000"/>
        </w:rPr>
        <w:t xml:space="preserve"> have presented to the Minor Eye Conditions Service (MECs) / COVID-19 Urgent </w:t>
      </w:r>
      <w:proofErr w:type="spellStart"/>
      <w:r w:rsidRPr="001D54FC">
        <w:rPr>
          <w:rFonts w:ascii="Arial" w:hAnsi="Arial" w:cs="Arial"/>
          <w:color w:val="000000"/>
        </w:rPr>
        <w:t>Eyecare</w:t>
      </w:r>
      <w:proofErr w:type="spellEnd"/>
      <w:r w:rsidRPr="001D54FC">
        <w:rPr>
          <w:rFonts w:ascii="Arial" w:hAnsi="Arial" w:cs="Arial"/>
          <w:color w:val="000000"/>
        </w:rPr>
        <w:t xml:space="preserve"> Service (CUES).</w:t>
      </w:r>
    </w:p>
    <w:p w:rsidR="001D54FC" w:rsidRPr="001D54FC" w:rsidRDefault="001D54FC" w:rsidP="001D54FC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b/>
          <w:bCs/>
          <w:color w:val="000000"/>
        </w:rPr>
        <w:t>Origin of referral:</w:t>
      </w:r>
    </w:p>
    <w:p w:rsidR="001D54FC" w:rsidRPr="001D54FC" w:rsidRDefault="001D54FC" w:rsidP="001D54FC">
      <w:pPr>
        <w:rPr>
          <w:rFonts w:ascii="Arial" w:hAnsi="Arial" w:cs="Arial"/>
          <w:color w:val="000000"/>
        </w:rPr>
      </w:pPr>
    </w:p>
    <w:p w:rsidR="001D54FC" w:rsidRPr="001D54FC" w:rsidRDefault="001D54FC" w:rsidP="001D54FC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414BD72C" wp14:editId="158A81BD">
            <wp:extent cx="3072809" cy="2285990"/>
            <wp:effectExtent l="0" t="0" r="0" b="635"/>
            <wp:docPr id="2" name="Picture 2" descr="cid:image033.png@01D61EFD.2303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33.png@01D61EFD.230334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24" cy="22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FC" w:rsidRPr="001D54FC" w:rsidRDefault="001D54FC" w:rsidP="001D54FC">
      <w:pPr>
        <w:rPr>
          <w:rFonts w:ascii="Arial" w:hAnsi="Arial" w:cs="Arial"/>
          <w:color w:val="000000"/>
        </w:rPr>
      </w:pPr>
    </w:p>
    <w:p w:rsidR="001D54FC" w:rsidRPr="001D54FC" w:rsidRDefault="001D54FC" w:rsidP="001D54FC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color w:val="000000"/>
        </w:rPr>
        <w:lastRenderedPageBreak/>
        <w:t>As illustrated, the vast majority were either self-referrals (27 patients) or referred from GP (24 patients). This means 24 GP appointments directly saved plus a proportion of those self-referring would be likely to contact their GP as the next port of call.</w:t>
      </w:r>
    </w:p>
    <w:p w:rsidR="001D54FC" w:rsidRPr="001D54FC" w:rsidRDefault="001D54FC" w:rsidP="001D54FC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b/>
          <w:bCs/>
          <w:color w:val="000000"/>
        </w:rPr>
        <w:t>Outcomes:</w:t>
      </w:r>
    </w:p>
    <w:p w:rsidR="001D54FC" w:rsidRPr="001D54FC" w:rsidRDefault="001D54FC" w:rsidP="001D54FC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7D9FDF76" wp14:editId="794CADB8">
            <wp:extent cx="4019107" cy="2415251"/>
            <wp:effectExtent l="0" t="0" r="635" b="4445"/>
            <wp:docPr id="1" name="Picture 1" descr="cid:image034.png@01D61EFD.2303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34.png@01D61EFD.230334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45" cy="241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FC" w:rsidRPr="001D54FC" w:rsidRDefault="001D54FC" w:rsidP="001D54FC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color w:val="000000"/>
        </w:rPr>
        <w:t xml:space="preserve">Of the 55 MECS/CUES presentations, just under half (26 patients) didn't need to be seen in person and were discharged with advice.  29 patients were seen in person with PPE. Of these, a further 19 were discharged after a F2F consultation.  </w:t>
      </w:r>
      <w:r w:rsidRPr="001D54FC">
        <w:rPr>
          <w:rFonts w:ascii="Arial" w:hAnsi="Arial" w:cs="Arial"/>
          <w:b/>
          <w:bCs/>
          <w:color w:val="000000"/>
        </w:rPr>
        <w:t>In total, 45 out of 55 patients were discharged (82%)</w:t>
      </w:r>
      <w:r w:rsidRPr="001D54FC">
        <w:rPr>
          <w:rFonts w:ascii="Arial" w:hAnsi="Arial" w:cs="Arial"/>
          <w:color w:val="000000"/>
        </w:rPr>
        <w:t xml:space="preserve">.  A further three each were referred back to their GP or required routine referral to HES (which can be delayed during the COVID period). Only 4 patients (7%) required urgent referral to HES - two patients with </w:t>
      </w:r>
      <w:proofErr w:type="spellStart"/>
      <w:r w:rsidRPr="001D54FC">
        <w:rPr>
          <w:rFonts w:ascii="Arial" w:hAnsi="Arial" w:cs="Arial"/>
          <w:color w:val="000000"/>
        </w:rPr>
        <w:t>papilloedema</w:t>
      </w:r>
      <w:proofErr w:type="spellEnd"/>
      <w:r w:rsidRPr="001D54FC">
        <w:rPr>
          <w:rFonts w:ascii="Arial" w:hAnsi="Arial" w:cs="Arial"/>
          <w:color w:val="000000"/>
        </w:rPr>
        <w:t>, one patient with diabetic macular oedema, and one with severe eye pain.</w:t>
      </w:r>
    </w:p>
    <w:p w:rsidR="001D54FC" w:rsidRPr="001D54FC" w:rsidRDefault="001D54FC" w:rsidP="001D54FC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b/>
          <w:bCs/>
          <w:color w:val="000000"/>
        </w:rPr>
        <w:t>Outcomes of GP referrals:</w:t>
      </w:r>
    </w:p>
    <w:p w:rsidR="001D54FC" w:rsidRPr="001D54FC" w:rsidRDefault="001D54FC" w:rsidP="00900080">
      <w:pPr>
        <w:rPr>
          <w:rFonts w:ascii="Arial" w:hAnsi="Arial" w:cs="Arial"/>
          <w:color w:val="000000"/>
        </w:rPr>
      </w:pPr>
      <w:r w:rsidRPr="001D54FC">
        <w:rPr>
          <w:rFonts w:ascii="Arial" w:hAnsi="Arial" w:cs="Arial"/>
          <w:color w:val="000000"/>
        </w:rPr>
        <w:t xml:space="preserve">Of 24 patients referred from GPs, 13 (54%) were dealt with remotely and a further 6 (25%) were discharged after F2F consultation - </w:t>
      </w:r>
      <w:r w:rsidRPr="001D54FC">
        <w:rPr>
          <w:rFonts w:ascii="Arial" w:hAnsi="Arial" w:cs="Arial"/>
          <w:b/>
          <w:bCs/>
          <w:color w:val="000000"/>
        </w:rPr>
        <w:t>in total, 79% discharged</w:t>
      </w:r>
      <w:r w:rsidRPr="001D54FC">
        <w:rPr>
          <w:rFonts w:ascii="Arial" w:hAnsi="Arial" w:cs="Arial"/>
          <w:color w:val="000000"/>
        </w:rPr>
        <w:t xml:space="preserve">. One patient referred from the GP with headaches had </w:t>
      </w:r>
      <w:proofErr w:type="spellStart"/>
      <w:r w:rsidRPr="001D54FC">
        <w:rPr>
          <w:rFonts w:ascii="Arial" w:hAnsi="Arial" w:cs="Arial"/>
          <w:color w:val="000000"/>
        </w:rPr>
        <w:t>papilloedema</w:t>
      </w:r>
      <w:proofErr w:type="spellEnd"/>
      <w:r w:rsidRPr="001D54FC">
        <w:rPr>
          <w:rFonts w:ascii="Arial" w:hAnsi="Arial" w:cs="Arial"/>
          <w:color w:val="000000"/>
        </w:rPr>
        <w:t xml:space="preserve"> and required urgent referral to Hospital Ophthalmology/Neurology.</w:t>
      </w:r>
    </w:p>
    <w:p w:rsidR="00573581" w:rsidRPr="001D54FC" w:rsidRDefault="00C47EE6" w:rsidP="00900080">
      <w:pPr>
        <w:rPr>
          <w:rFonts w:ascii="Arial" w:hAnsi="Arial" w:cs="Arial"/>
          <w:b/>
        </w:rPr>
      </w:pPr>
      <w:r w:rsidRPr="001D54FC">
        <w:rPr>
          <w:rFonts w:ascii="Arial" w:hAnsi="Arial" w:cs="Arial"/>
          <w:b/>
        </w:rPr>
        <w:t>Which p</w:t>
      </w:r>
      <w:r w:rsidR="00573581" w:rsidRPr="001D54FC">
        <w:rPr>
          <w:rFonts w:ascii="Arial" w:hAnsi="Arial" w:cs="Arial"/>
          <w:b/>
        </w:rPr>
        <w:t>at</w:t>
      </w:r>
      <w:r w:rsidR="007A6964" w:rsidRPr="001D54FC">
        <w:rPr>
          <w:rFonts w:ascii="Arial" w:hAnsi="Arial" w:cs="Arial"/>
          <w:b/>
        </w:rPr>
        <w:t>ients</w:t>
      </w:r>
      <w:r w:rsidRPr="001D54FC">
        <w:rPr>
          <w:rFonts w:ascii="Arial" w:hAnsi="Arial" w:cs="Arial"/>
          <w:b/>
        </w:rPr>
        <w:t xml:space="preserve"> can GP practices re-direct via the triage?</w:t>
      </w:r>
    </w:p>
    <w:p w:rsidR="00584DDD" w:rsidRPr="001D54FC" w:rsidRDefault="00584DDD" w:rsidP="00584DDD">
      <w:pPr>
        <w:pStyle w:val="Body1"/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color w:val="auto"/>
          <w:sz w:val="22"/>
          <w:szCs w:val="22"/>
        </w:rPr>
        <w:t>The inclusion criteria for the MECs service are as follows:</w:t>
      </w:r>
    </w:p>
    <w:p w:rsidR="00584DDD" w:rsidRPr="001D54FC" w:rsidRDefault="00584DDD" w:rsidP="00584DDD">
      <w:pPr>
        <w:pStyle w:val="Body1"/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</w:p>
    <w:p w:rsidR="00356955" w:rsidRPr="001D54FC" w:rsidRDefault="009B380F" w:rsidP="009B380F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9B380F">
        <w:rPr>
          <w:rFonts w:ascii="Arial" w:hAnsi="Arial" w:cs="Arial"/>
          <w:color w:val="auto"/>
          <w:sz w:val="22"/>
          <w:szCs w:val="22"/>
        </w:rPr>
        <w:t>Sudden onset loss of vision including transient loss where a red flag cause is not suspected</w:t>
      </w:r>
    </w:p>
    <w:p w:rsidR="00584DDD" w:rsidRPr="001D54FC" w:rsidRDefault="00584DDD" w:rsidP="00584DDD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color w:val="auto"/>
          <w:sz w:val="22"/>
          <w:szCs w:val="22"/>
        </w:rPr>
        <w:t>Ocular pain</w:t>
      </w:r>
    </w:p>
    <w:p w:rsidR="00584DDD" w:rsidRPr="001D54FC" w:rsidRDefault="00584DDD" w:rsidP="00584DDD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color w:val="auto"/>
          <w:sz w:val="22"/>
          <w:szCs w:val="22"/>
        </w:rPr>
        <w:t>Differential diagnosis of red eye</w:t>
      </w:r>
    </w:p>
    <w:p w:rsidR="00584DDD" w:rsidRPr="001D54FC" w:rsidRDefault="00584DDD" w:rsidP="00584DDD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color w:val="auto"/>
          <w:sz w:val="22"/>
          <w:szCs w:val="22"/>
        </w:rPr>
        <w:t xml:space="preserve">Foreign body and </w:t>
      </w:r>
      <w:r w:rsidR="00A0075F" w:rsidRPr="001D54FC">
        <w:rPr>
          <w:rFonts w:ascii="Arial" w:hAnsi="Arial" w:cs="Arial"/>
          <w:color w:val="auto"/>
          <w:sz w:val="22"/>
          <w:szCs w:val="22"/>
        </w:rPr>
        <w:t>emergency contact lens removal</w:t>
      </w:r>
      <w:r w:rsidRPr="001D54F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84DDD" w:rsidRPr="001D54FC" w:rsidRDefault="00584DDD" w:rsidP="00584DDD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color w:val="auto"/>
          <w:sz w:val="22"/>
          <w:szCs w:val="22"/>
        </w:rPr>
        <w:t>Dry eye</w:t>
      </w:r>
    </w:p>
    <w:p w:rsidR="00584DDD" w:rsidRPr="001D54FC" w:rsidRDefault="00584DDD" w:rsidP="00584DDD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color w:val="auto"/>
          <w:sz w:val="22"/>
          <w:szCs w:val="22"/>
        </w:rPr>
        <w:t>Blepharitis</w:t>
      </w:r>
    </w:p>
    <w:p w:rsidR="00584DDD" w:rsidRPr="001D54FC" w:rsidRDefault="00584DDD" w:rsidP="00584DDD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1D54FC">
        <w:rPr>
          <w:rFonts w:ascii="Arial" w:hAnsi="Arial" w:cs="Arial"/>
          <w:color w:val="auto"/>
          <w:sz w:val="22"/>
          <w:szCs w:val="22"/>
        </w:rPr>
        <w:t>Epiphora</w:t>
      </w:r>
      <w:proofErr w:type="spellEnd"/>
    </w:p>
    <w:p w:rsidR="00584DDD" w:rsidRPr="001D54FC" w:rsidRDefault="00584DDD" w:rsidP="00584DDD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1D54FC">
        <w:rPr>
          <w:rFonts w:ascii="Arial" w:hAnsi="Arial" w:cs="Arial"/>
          <w:color w:val="auto"/>
          <w:sz w:val="22"/>
          <w:szCs w:val="22"/>
        </w:rPr>
        <w:t>Trichiasis</w:t>
      </w:r>
      <w:proofErr w:type="spellEnd"/>
    </w:p>
    <w:p w:rsidR="00584DDD" w:rsidRPr="001D54FC" w:rsidRDefault="00584DDD" w:rsidP="00584DDD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color w:val="auto"/>
          <w:sz w:val="22"/>
          <w:szCs w:val="22"/>
        </w:rPr>
        <w:t>Differential diagnosis of lumps and bumps in the vicinity of the eye</w:t>
      </w:r>
    </w:p>
    <w:p w:rsidR="00584DDD" w:rsidRPr="001D54FC" w:rsidRDefault="00584DDD" w:rsidP="00584DDD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color w:val="auto"/>
          <w:sz w:val="22"/>
          <w:szCs w:val="22"/>
        </w:rPr>
        <w:lastRenderedPageBreak/>
        <w:t>Flashes/floaters</w:t>
      </w:r>
    </w:p>
    <w:p w:rsidR="004611F8" w:rsidRPr="001D54FC" w:rsidRDefault="00584DDD" w:rsidP="00900080">
      <w:pPr>
        <w:pStyle w:val="Body1"/>
        <w:numPr>
          <w:ilvl w:val="0"/>
          <w:numId w:val="4"/>
        </w:numPr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color w:val="auto"/>
          <w:sz w:val="22"/>
          <w:szCs w:val="22"/>
        </w:rPr>
        <w:t>Patient reported sudden onset field defects</w:t>
      </w:r>
    </w:p>
    <w:p w:rsidR="00584DDD" w:rsidRPr="001D54FC" w:rsidRDefault="00584DDD" w:rsidP="00C47EE6">
      <w:pPr>
        <w:pStyle w:val="Body1"/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</w:p>
    <w:p w:rsidR="00C47EE6" w:rsidRPr="001D54FC" w:rsidRDefault="00391C32" w:rsidP="00C47EE6">
      <w:pPr>
        <w:pStyle w:val="Body1"/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1D54FC">
        <w:rPr>
          <w:rFonts w:ascii="Arial" w:hAnsi="Arial" w:cs="Arial"/>
          <w:b/>
          <w:color w:val="auto"/>
          <w:sz w:val="22"/>
          <w:szCs w:val="22"/>
        </w:rPr>
        <w:t xml:space="preserve">PLEASE NOTE: </w:t>
      </w:r>
      <w:r w:rsidR="00C47EE6" w:rsidRPr="001D54FC">
        <w:rPr>
          <w:rFonts w:ascii="Arial" w:hAnsi="Arial" w:cs="Arial"/>
          <w:b/>
          <w:color w:val="auto"/>
          <w:sz w:val="22"/>
          <w:szCs w:val="22"/>
        </w:rPr>
        <w:t>THIS SERVICE IS NOT FOR PATIENTS WITH RED FLAG SYMPTOMS</w:t>
      </w:r>
      <w:r w:rsidR="00C47EE6" w:rsidRPr="001D54FC">
        <w:rPr>
          <w:rFonts w:ascii="Arial" w:hAnsi="Arial" w:cs="Arial"/>
          <w:color w:val="auto"/>
          <w:sz w:val="22"/>
          <w:szCs w:val="22"/>
        </w:rPr>
        <w:t xml:space="preserve">.   </w:t>
      </w:r>
    </w:p>
    <w:p w:rsidR="00C47EE6" w:rsidRPr="001D54FC" w:rsidRDefault="00C47EE6" w:rsidP="00C47EE6">
      <w:pPr>
        <w:pStyle w:val="Body1"/>
        <w:spacing w:line="276" w:lineRule="auto"/>
        <w:ind w:right="34"/>
        <w:jc w:val="both"/>
        <w:rPr>
          <w:rFonts w:ascii="Arial" w:hAnsi="Arial" w:cs="Arial"/>
          <w:color w:val="auto"/>
          <w:sz w:val="22"/>
          <w:szCs w:val="22"/>
        </w:rPr>
      </w:pPr>
    </w:p>
    <w:p w:rsidR="00C47EE6" w:rsidRPr="001D54FC" w:rsidRDefault="006C1B2E" w:rsidP="008B02B5">
      <w:pPr>
        <w:pStyle w:val="Body1"/>
        <w:ind w:right="34"/>
        <w:jc w:val="both"/>
        <w:rPr>
          <w:rFonts w:ascii="Arial" w:hAnsi="Arial" w:cs="Arial"/>
          <w:color w:val="auto"/>
          <w:sz w:val="22"/>
          <w:szCs w:val="22"/>
        </w:rPr>
      </w:pPr>
      <w:r w:rsidRPr="006C1B2E">
        <w:rPr>
          <w:rFonts w:ascii="Arial" w:hAnsi="Arial" w:cs="Arial"/>
          <w:color w:val="auto"/>
          <w:sz w:val="22"/>
          <w:szCs w:val="22"/>
        </w:rPr>
        <w:t>Patients with Red Flag symptoms should be referred directly to secondary care, as is currently the case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DB3C8D" w:rsidRPr="001D54FC" w:rsidRDefault="00DB3C8D" w:rsidP="008B02B5">
      <w:pPr>
        <w:pStyle w:val="Body1"/>
        <w:ind w:right="34"/>
        <w:jc w:val="both"/>
        <w:rPr>
          <w:rFonts w:ascii="Arial" w:hAnsi="Arial" w:cs="Arial"/>
          <w:color w:val="auto"/>
          <w:sz w:val="22"/>
          <w:szCs w:val="22"/>
        </w:rPr>
      </w:pPr>
    </w:p>
    <w:p w:rsidR="009216E6" w:rsidRPr="001D54FC" w:rsidRDefault="004611F8" w:rsidP="008B02B5">
      <w:pPr>
        <w:spacing w:after="0" w:line="240" w:lineRule="auto"/>
        <w:rPr>
          <w:rFonts w:ascii="Arial" w:hAnsi="Arial" w:cs="Arial"/>
        </w:rPr>
        <w:sectPr w:rsidR="009216E6" w:rsidRPr="001D54FC" w:rsidSect="009216E6">
          <w:head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D54FC">
        <w:rPr>
          <w:rFonts w:ascii="Arial" w:hAnsi="Arial" w:cs="Arial"/>
        </w:rPr>
        <w:t>There is a separate</w:t>
      </w:r>
      <w:r w:rsidR="005016B6" w:rsidRPr="001D54FC">
        <w:rPr>
          <w:rFonts w:ascii="Arial" w:hAnsi="Arial" w:cs="Arial"/>
        </w:rPr>
        <w:t xml:space="preserve"> information sheet available to support patients</w:t>
      </w:r>
      <w:r w:rsidR="00391C32" w:rsidRPr="001D54FC">
        <w:rPr>
          <w:rFonts w:ascii="Arial" w:hAnsi="Arial" w:cs="Arial"/>
        </w:rPr>
        <w:t>,</w:t>
      </w:r>
      <w:r w:rsidR="005016B6" w:rsidRPr="001D54FC">
        <w:rPr>
          <w:rFonts w:ascii="Arial" w:hAnsi="Arial" w:cs="Arial"/>
        </w:rPr>
        <w:t xml:space="preserve"> </w:t>
      </w:r>
      <w:r w:rsidRPr="001D54FC">
        <w:rPr>
          <w:rFonts w:ascii="Arial" w:hAnsi="Arial" w:cs="Arial"/>
        </w:rPr>
        <w:t>which inclu</w:t>
      </w:r>
      <w:r w:rsidR="00ED427C" w:rsidRPr="001D54FC">
        <w:rPr>
          <w:rFonts w:ascii="Arial" w:hAnsi="Arial" w:cs="Arial"/>
        </w:rPr>
        <w:t>des the choice of service identified in</w:t>
      </w:r>
      <w:r w:rsidRPr="001D54FC">
        <w:rPr>
          <w:rFonts w:ascii="Arial" w:hAnsi="Arial" w:cs="Arial"/>
        </w:rPr>
        <w:t xml:space="preserve"> the information below</w:t>
      </w:r>
      <w:r w:rsidR="003E366F" w:rsidRPr="001D54FC">
        <w:rPr>
          <w:rFonts w:ascii="Arial" w:hAnsi="Arial" w:cs="Arial"/>
        </w:rPr>
        <w:t>. Patients will be asked to contact the service themselves directly</w:t>
      </w:r>
      <w:r w:rsidR="00283485" w:rsidRPr="001D54FC">
        <w:rPr>
          <w:rFonts w:ascii="Arial" w:hAnsi="Arial" w:cs="Arial"/>
        </w:rPr>
        <w:t xml:space="preserve"> for triage via telephone / vide</w:t>
      </w:r>
      <w:r w:rsidR="009216E6" w:rsidRPr="001D54FC">
        <w:rPr>
          <w:rFonts w:ascii="Arial" w:hAnsi="Arial" w:cs="Arial"/>
        </w:rPr>
        <w:t>o call and for further advice.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993"/>
        <w:gridCol w:w="1276"/>
        <w:gridCol w:w="1134"/>
        <w:gridCol w:w="1134"/>
        <w:gridCol w:w="1559"/>
        <w:gridCol w:w="1133"/>
        <w:gridCol w:w="142"/>
        <w:gridCol w:w="850"/>
        <w:gridCol w:w="1135"/>
        <w:gridCol w:w="1275"/>
      </w:tblGrid>
      <w:tr w:rsidR="00154357" w:rsidRPr="00154357" w:rsidTr="00B37188">
        <w:trPr>
          <w:trHeight w:val="6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25779F" w:rsidRPr="00EB7746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EB774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Opening Hours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154357" w:rsidRPr="00154357" w:rsidTr="00B37188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Practice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Address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Town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B7746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Post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code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Tel Number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Monday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Tuesday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Wednesday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EB7746">
            <w:pPr>
              <w:spacing w:after="0" w:line="240" w:lineRule="auto"/>
              <w:ind w:left="-109" w:right="-249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Thursday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Friday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1543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Saturday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Sunday </w:t>
            </w:r>
          </w:p>
        </w:tc>
      </w:tr>
      <w:tr w:rsidR="00154357" w:rsidRPr="00154357" w:rsidTr="00B37188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Chesterfield &amp; Northeast Derbyshire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154357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Chesterfield Specsavers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Burlington Street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Chesterfield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S40 1RR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01246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222334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08:30-19:00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08:30-19:00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6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Chesterfield Vision Express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2, 16 Packers Row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Chesterfield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S40 1RB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01246</w:t>
            </w:r>
          </w:p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277432</w:t>
            </w: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08000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3821777</w:t>
            </w: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08:45-18:00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Elliott &amp; Heath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79 Newbold Road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Chesterfield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S41 7QA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01246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275847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08:30-12:00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08:30-12:00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Murgatroyd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-Holmes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33 High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Staveley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S43 3UU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01246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477199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09:00-12:00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Thomas &amp; Holloway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33 Chesterfield Road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Dronfield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S18 2XA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01246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419408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09:00-20:00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09:00-13:00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Matlock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 Crown Square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Matlock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DE4 3AT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01629</w:t>
            </w:r>
          </w:p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704000</w:t>
            </w: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01246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222334</w:t>
            </w: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Hope Valley Opticians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Hathersage</w:t>
            </w:r>
            <w:proofErr w:type="spellEnd"/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Park, 5B Heather Lane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Hathersage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S32 1DP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01433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659565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09:00-19:30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09:00-13:00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Crystal Peaks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50D, Crystal Peaks Shopping Centre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Mosborough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Sheffield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S20 7PN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01142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513111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08:45-18:30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08:45-17:30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Norton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9A, St James Retail Park, Bochum Parkway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Norton, Sheffield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S8 8BS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01142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839731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09:00-19:00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Buxton &amp; Northwest Derbyshire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Buxton Boots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4, Spring Gardens Shopping Centre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Buxton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SK17 6DE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01298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22443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Buxton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B3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</w:t>
            </w:r>
            <w:r w:rsidR="00B371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</w:t>
            </w: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14, Spring Gardens Shopping Centre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Buxton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SK17 6DF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01298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766130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09:00-18:00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09:00-18:00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09:00-18:00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6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Jenks-Burgess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B37188" w:rsidP="00B3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="0025779F"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Market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Whaley Bridge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SK23 7LP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01663</w:t>
            </w:r>
          </w:p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733861</w:t>
            </w:r>
          </w:p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01614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807423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09:30-12:30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09:00-12:30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Morans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Opticians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28 Market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New Mills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SK22 4AE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01663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742338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09:00-18:00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09:00-16:30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09:00-12:30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Mid Derbyshire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Ashbourne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 Victoria Square, Market Place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Ashbourne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DE6 1GG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01335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348538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B&amp;B Opticians (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Somercotes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125 Nottingham Road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Somercotes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DE55 4JH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01773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609411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09:00-16:00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Belper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46-48 King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Belper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DE56 1PL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01773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824375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Ripley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22 Oxford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Ripley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DE5 3AL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01773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741515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Hurst Opticians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5-7 High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Ripley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DE5 3AB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01773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744333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09:00-16:30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Sutton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Idlewells</w:t>
            </w:r>
            <w:proofErr w:type="spellEnd"/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Shopping Centre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Sutton-in-Ashfield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NG17 1BP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01623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552456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08:30-18:00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08:30-18:00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08:30-18:00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08:30-18:00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Stanley H Field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19 Church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Alfreton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DE55 7AH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01773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832091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09:00-12:00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 Blow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115 High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Alfreton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DE55 7DP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01773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836661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09:00-16:00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Sumpton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Opticians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108 Bath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Ilkeston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DE7 8FE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01159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322653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09:00-12:30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Ilkeston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104 Bath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Ilkeston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DE7 8FE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01159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441401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09:00-19:00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09:00-19:00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Eastwood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99 Nottingham Road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Eastwood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NG16 3AJ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01773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535777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09:00-19:00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Long Eaton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4-6 High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Long Eaton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NG10 1LN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01159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460450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09:00-19:00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09:00-19:00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  <w:tr w:rsidR="00EB7746" w:rsidRPr="00154357" w:rsidTr="00B37188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South Derbyshire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Adams Optician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16B, </w:t>
            </w:r>
            <w:proofErr w:type="spellStart"/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Sinfin</w:t>
            </w:r>
            <w:proofErr w:type="spellEnd"/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District Centre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Sinfin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Derby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DE24 3DS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272400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Alvaston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Opticians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1260 London Road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Alvaston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Derby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DE24 8QP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571642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09:00-15:00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Borrowash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Opticians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17 Derby Road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Borrowash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Derby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DE72 3JW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701944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09:00-13:00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Chellaston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Opticians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17 Derby Road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Chellaston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Derby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DE73 5SA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701944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09:00-13:00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David Elks Opticians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12 Midland Road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Swadlincote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DE11 0AG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46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01283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216284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09:00-12:30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09:00-12:00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Derby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22 Crown Walk, West Mall Intu Centre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Derby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DE1 2NP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46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294939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08:45-18:00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08:45-18:00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08:45-18:00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08:45-18:00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08:30-18:00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10:00-16:30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Grimley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Glynn </w:t>
            </w: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Opticians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15 West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Swadlincote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DE11 9DG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46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012832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22535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</w:t>
            </w: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09:00-16:00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Normanton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10-12 Stenson Road, The Cavendish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Normanton, Derby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DE23 1JA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46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771555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08:30-17:30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10:00-15:45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Ultimate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Spex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293 Normanton Road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Normanton, Derby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DE23 6UU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46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294599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09:30-17:00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Oakwood </w:t>
            </w:r>
            <w:proofErr w:type="spellStart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Eyecare</w:t>
            </w:r>
            <w:proofErr w:type="spellEnd"/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Oakwood District Centre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Oakwood, Derby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DE21 2HT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46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676433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09:00-20:00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09:00-20:00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08:00-16:00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Closed </w:t>
            </w:r>
          </w:p>
        </w:tc>
      </w:tr>
      <w:tr w:rsidR="00EB7746" w:rsidRPr="00154357" w:rsidTr="00B3718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Oakwood Specsavers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4, Oakwood District Centre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Oakwood, Derby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DE21 2HT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46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01332</w:t>
            </w:r>
          </w:p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668553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09:00-17:30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9F" w:rsidRPr="00154357" w:rsidRDefault="0025779F" w:rsidP="002577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43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10:00-16:00 </w:t>
            </w:r>
          </w:p>
        </w:tc>
      </w:tr>
    </w:tbl>
    <w:p w:rsidR="009216E6" w:rsidRPr="008B02B5" w:rsidRDefault="009216E6" w:rsidP="00900080">
      <w:pPr>
        <w:rPr>
          <w:rFonts w:ascii="Arial" w:hAnsi="Arial" w:cs="Arial"/>
          <w:color w:val="FF0000"/>
        </w:rPr>
        <w:sectPr w:rsidR="009216E6" w:rsidRPr="008B02B5" w:rsidSect="009216E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D427C" w:rsidRPr="008B02B5" w:rsidRDefault="00287287" w:rsidP="00900080">
      <w:pPr>
        <w:rPr>
          <w:rFonts w:ascii="Arial" w:hAnsi="Arial" w:cs="Arial"/>
        </w:rPr>
      </w:pPr>
      <w:r w:rsidRPr="008B02B5">
        <w:rPr>
          <w:rFonts w:ascii="Arial" w:hAnsi="Arial" w:cs="Arial"/>
          <w:b/>
          <w:bCs/>
          <w:noProof/>
          <w:lang w:eastAsia="en-GB"/>
        </w:rPr>
        <w:lastRenderedPageBreak/>
        <w:drawing>
          <wp:inline distT="0" distB="0" distL="0" distR="0" wp14:anchorId="216AA596" wp14:editId="135F3AFF">
            <wp:extent cx="5764991" cy="5607334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22" cy="560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6B6" w:rsidRPr="008B02B5" w:rsidRDefault="005016B6" w:rsidP="00900080">
      <w:pPr>
        <w:rPr>
          <w:rFonts w:ascii="Arial" w:hAnsi="Arial" w:cs="Arial"/>
          <w:b/>
          <w:bCs/>
        </w:rPr>
      </w:pPr>
    </w:p>
    <w:p w:rsidR="009216E6" w:rsidRPr="008B02B5" w:rsidRDefault="009216E6" w:rsidP="00900080">
      <w:pPr>
        <w:rPr>
          <w:rFonts w:ascii="Arial" w:hAnsi="Arial" w:cs="Arial"/>
          <w:b/>
          <w:bCs/>
        </w:rPr>
      </w:pPr>
    </w:p>
    <w:p w:rsidR="009216E6" w:rsidRPr="008B02B5" w:rsidRDefault="009216E6" w:rsidP="00900080">
      <w:pPr>
        <w:rPr>
          <w:rFonts w:ascii="Arial" w:hAnsi="Arial" w:cs="Arial"/>
          <w:b/>
          <w:bCs/>
        </w:rPr>
      </w:pPr>
    </w:p>
    <w:p w:rsidR="004E001C" w:rsidRPr="008B02B5" w:rsidRDefault="004E001C" w:rsidP="00D41CC9">
      <w:pPr>
        <w:spacing w:after="0" w:line="240" w:lineRule="auto"/>
        <w:rPr>
          <w:rFonts w:ascii="Arial" w:hAnsi="Arial" w:cs="Arial"/>
        </w:rPr>
      </w:pPr>
    </w:p>
    <w:sectPr w:rsidR="004E001C" w:rsidRPr="008B02B5" w:rsidSect="00D41C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AC" w:rsidRDefault="005E00AC" w:rsidP="005860F2">
      <w:pPr>
        <w:spacing w:after="0" w:line="240" w:lineRule="auto"/>
      </w:pPr>
      <w:r>
        <w:separator/>
      </w:r>
    </w:p>
  </w:endnote>
  <w:endnote w:type="continuationSeparator" w:id="0">
    <w:p w:rsidR="005E00AC" w:rsidRDefault="005E00AC" w:rsidP="0058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AC" w:rsidRDefault="005E00AC" w:rsidP="005860F2">
      <w:pPr>
        <w:spacing w:after="0" w:line="240" w:lineRule="auto"/>
      </w:pPr>
      <w:r>
        <w:separator/>
      </w:r>
    </w:p>
  </w:footnote>
  <w:footnote w:type="continuationSeparator" w:id="0">
    <w:p w:rsidR="005E00AC" w:rsidRDefault="005E00AC" w:rsidP="0058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88" w:rsidRDefault="00B37188" w:rsidP="005860F2">
    <w:pPr>
      <w:pStyle w:val="Header"/>
      <w:ind w:firstLine="720"/>
    </w:pPr>
    <w:r>
      <w:tab/>
    </w:r>
    <w:r>
      <w:tab/>
      <w:t xml:space="preserve">             </w:t>
    </w:r>
    <w:r>
      <w:rPr>
        <w:noProof/>
        <w:lang w:eastAsia="en-GB"/>
      </w:rPr>
      <w:drawing>
        <wp:inline distT="0" distB="0" distL="0" distR="0" wp14:anchorId="1922FBE7" wp14:editId="6E26984B">
          <wp:extent cx="1790700" cy="638175"/>
          <wp:effectExtent l="0" t="0" r="0" b="9525"/>
          <wp:docPr id="4" name="Picture 4" descr="C:\Users\Anaaf.Bhatti\AppData\Local\Microsoft\Windows\Temporary Internet Files\Content.Word\NHS Derby_Derbyshire CCG Logo_Col_R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naaf.Bhatti\AppData\Local\Microsoft\Windows\Temporary Internet Files\Content.Word\NHS Derby_Derbyshire CCG Logo_Col_R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AE4"/>
    <w:multiLevelType w:val="hybridMultilevel"/>
    <w:tmpl w:val="63B2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2DD6"/>
    <w:multiLevelType w:val="hybridMultilevel"/>
    <w:tmpl w:val="6E0A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17F9"/>
    <w:multiLevelType w:val="hybridMultilevel"/>
    <w:tmpl w:val="984A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0577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1C"/>
    <w:rsid w:val="000243BC"/>
    <w:rsid w:val="0005311F"/>
    <w:rsid w:val="0005397A"/>
    <w:rsid w:val="00075CD3"/>
    <w:rsid w:val="0009577C"/>
    <w:rsid w:val="000B3AF5"/>
    <w:rsid w:val="00126DE4"/>
    <w:rsid w:val="00152D88"/>
    <w:rsid w:val="00154357"/>
    <w:rsid w:val="001D54FC"/>
    <w:rsid w:val="001F7C3C"/>
    <w:rsid w:val="00254E46"/>
    <w:rsid w:val="0025779F"/>
    <w:rsid w:val="00270F31"/>
    <w:rsid w:val="00283485"/>
    <w:rsid w:val="00287287"/>
    <w:rsid w:val="002B074E"/>
    <w:rsid w:val="002D04F3"/>
    <w:rsid w:val="002D21D8"/>
    <w:rsid w:val="002F5359"/>
    <w:rsid w:val="00356955"/>
    <w:rsid w:val="00391C32"/>
    <w:rsid w:val="003E366F"/>
    <w:rsid w:val="003F0F89"/>
    <w:rsid w:val="004049B3"/>
    <w:rsid w:val="004611F8"/>
    <w:rsid w:val="0046220B"/>
    <w:rsid w:val="0049520E"/>
    <w:rsid w:val="004D41D7"/>
    <w:rsid w:val="004E001C"/>
    <w:rsid w:val="005016B6"/>
    <w:rsid w:val="00573581"/>
    <w:rsid w:val="00584DDD"/>
    <w:rsid w:val="005860F2"/>
    <w:rsid w:val="00587392"/>
    <w:rsid w:val="005A7957"/>
    <w:rsid w:val="005E00AC"/>
    <w:rsid w:val="0060323C"/>
    <w:rsid w:val="00606E99"/>
    <w:rsid w:val="006130A7"/>
    <w:rsid w:val="006158BA"/>
    <w:rsid w:val="006242F1"/>
    <w:rsid w:val="00667D7A"/>
    <w:rsid w:val="00676F0F"/>
    <w:rsid w:val="00687817"/>
    <w:rsid w:val="006C1B2E"/>
    <w:rsid w:val="00741949"/>
    <w:rsid w:val="007976AC"/>
    <w:rsid w:val="007A6964"/>
    <w:rsid w:val="00861A04"/>
    <w:rsid w:val="00895754"/>
    <w:rsid w:val="008B02B5"/>
    <w:rsid w:val="008E3007"/>
    <w:rsid w:val="00900080"/>
    <w:rsid w:val="009216E6"/>
    <w:rsid w:val="00926F9C"/>
    <w:rsid w:val="00992004"/>
    <w:rsid w:val="009A065A"/>
    <w:rsid w:val="009B380F"/>
    <w:rsid w:val="009B4664"/>
    <w:rsid w:val="009C6FDE"/>
    <w:rsid w:val="00A0075F"/>
    <w:rsid w:val="00A51D33"/>
    <w:rsid w:val="00A60A82"/>
    <w:rsid w:val="00A72270"/>
    <w:rsid w:val="00AB76A4"/>
    <w:rsid w:val="00AF1365"/>
    <w:rsid w:val="00B0388C"/>
    <w:rsid w:val="00B37188"/>
    <w:rsid w:val="00BA4FDE"/>
    <w:rsid w:val="00BE666C"/>
    <w:rsid w:val="00BF6398"/>
    <w:rsid w:val="00BF667A"/>
    <w:rsid w:val="00C05EF2"/>
    <w:rsid w:val="00C47EE6"/>
    <w:rsid w:val="00C85DDD"/>
    <w:rsid w:val="00C86BD1"/>
    <w:rsid w:val="00CA39D6"/>
    <w:rsid w:val="00CB11BA"/>
    <w:rsid w:val="00D2352D"/>
    <w:rsid w:val="00D406D3"/>
    <w:rsid w:val="00D41CC9"/>
    <w:rsid w:val="00D66C7C"/>
    <w:rsid w:val="00DB3C8D"/>
    <w:rsid w:val="00E2404E"/>
    <w:rsid w:val="00EB7746"/>
    <w:rsid w:val="00ED427C"/>
    <w:rsid w:val="00F42994"/>
    <w:rsid w:val="00FA57D5"/>
    <w:rsid w:val="00FC3368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01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00080"/>
    <w:rPr>
      <w:strike w:val="0"/>
      <w:dstrike w:val="0"/>
      <w:color w:val="1A0DAB"/>
      <w:u w:val="none"/>
      <w:effect w:val="none"/>
    </w:rPr>
  </w:style>
  <w:style w:type="character" w:customStyle="1" w:styleId="bmdetailsoverlay">
    <w:name w:val="bm_details_overlay"/>
    <w:basedOn w:val="DefaultParagraphFont"/>
    <w:rsid w:val="00900080"/>
  </w:style>
  <w:style w:type="paragraph" w:customStyle="1" w:styleId="Body1">
    <w:name w:val="Body 1"/>
    <w:basedOn w:val="Normal"/>
    <w:rsid w:val="00584DD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F2"/>
  </w:style>
  <w:style w:type="paragraph" w:styleId="Footer">
    <w:name w:val="footer"/>
    <w:basedOn w:val="Normal"/>
    <w:link w:val="FooterChar"/>
    <w:uiPriority w:val="99"/>
    <w:unhideWhenUsed/>
    <w:rsid w:val="005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F2"/>
  </w:style>
  <w:style w:type="character" w:styleId="CommentReference">
    <w:name w:val="annotation reference"/>
    <w:basedOn w:val="DefaultParagraphFont"/>
    <w:uiPriority w:val="99"/>
    <w:semiHidden/>
    <w:unhideWhenUsed/>
    <w:rsid w:val="00797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6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01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00080"/>
    <w:rPr>
      <w:strike w:val="0"/>
      <w:dstrike w:val="0"/>
      <w:color w:val="1A0DAB"/>
      <w:u w:val="none"/>
      <w:effect w:val="none"/>
    </w:rPr>
  </w:style>
  <w:style w:type="character" w:customStyle="1" w:styleId="bmdetailsoverlay">
    <w:name w:val="bm_details_overlay"/>
    <w:basedOn w:val="DefaultParagraphFont"/>
    <w:rsid w:val="00900080"/>
  </w:style>
  <w:style w:type="paragraph" w:customStyle="1" w:styleId="Body1">
    <w:name w:val="Body 1"/>
    <w:basedOn w:val="Normal"/>
    <w:rsid w:val="00584DD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F2"/>
  </w:style>
  <w:style w:type="paragraph" w:styleId="Footer">
    <w:name w:val="footer"/>
    <w:basedOn w:val="Normal"/>
    <w:link w:val="FooterChar"/>
    <w:uiPriority w:val="99"/>
    <w:unhideWhenUsed/>
    <w:rsid w:val="005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F2"/>
  </w:style>
  <w:style w:type="character" w:styleId="CommentReference">
    <w:name w:val="annotation reference"/>
    <w:basedOn w:val="DefaultParagraphFont"/>
    <w:uiPriority w:val="99"/>
    <w:semiHidden/>
    <w:unhideWhenUsed/>
    <w:rsid w:val="00797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6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34.png@01D61EFD.230334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33.png@01D61EFD.23033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D0A-FD9C-4DB0-9A62-080043DE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 Claire (NHS Southern Derbyshire CCG)</dc:creator>
  <cp:lastModifiedBy>Madin Donna</cp:lastModifiedBy>
  <cp:revision>7</cp:revision>
  <cp:lastPrinted>2020-04-15T10:42:00Z</cp:lastPrinted>
  <dcterms:created xsi:type="dcterms:W3CDTF">2020-05-04T07:07:00Z</dcterms:created>
  <dcterms:modified xsi:type="dcterms:W3CDTF">2020-05-04T08:42:00Z</dcterms:modified>
</cp:coreProperties>
</file>