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E5D" w:rsidRDefault="00E2747C" w:rsidP="00297E5D">
      <w:pPr>
        <w:jc w:val="right"/>
        <w:rPr>
          <w:b/>
        </w:rPr>
      </w:pPr>
      <w:bookmarkStart w:id="0" w:name="_GoBack"/>
      <w:bookmarkEnd w:id="0"/>
      <w:r w:rsidRPr="00E2747C">
        <w:rPr>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4457700</wp:posOffset>
                </wp:positionH>
                <wp:positionV relativeFrom="paragraph">
                  <wp:posOffset>27940</wp:posOffset>
                </wp:positionV>
                <wp:extent cx="17716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85800"/>
                        </a:xfrm>
                        <a:prstGeom prst="rect">
                          <a:avLst/>
                        </a:prstGeom>
                        <a:solidFill>
                          <a:srgbClr val="FFFFFF"/>
                        </a:solidFill>
                        <a:ln w="9525">
                          <a:noFill/>
                          <a:miter lim="800000"/>
                          <a:headEnd/>
                          <a:tailEnd/>
                        </a:ln>
                      </wps:spPr>
                      <wps:txbx>
                        <w:txbxContent>
                          <w:p w:rsidR="00E2747C" w:rsidRDefault="00E2747C">
                            <w:r>
                              <w:rPr>
                                <w:noProof/>
                                <w:lang w:eastAsia="en-GB"/>
                              </w:rPr>
                              <w:drawing>
                                <wp:inline distT="0" distB="0" distL="0" distR="0" wp14:anchorId="1135AE3D" wp14:editId="536A240A">
                                  <wp:extent cx="156845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876" cy="572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2.2pt;width:13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LzIAIAAB0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" stroked="f">
                <v:textbox>
                  <w:txbxContent>
                    <w:p w:rsidR="00E2747C" w:rsidRDefault="00E2747C">
                      <w:r>
                        <w:rPr>
                          <w:noProof/>
                          <w:lang w:eastAsia="en-GB"/>
                        </w:rPr>
                        <w:drawing>
                          <wp:inline distT="0" distB="0" distL="0" distR="0" wp14:anchorId="1135AE3D" wp14:editId="536A240A">
                            <wp:extent cx="156845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876" cy="572020"/>
                                    </a:xfrm>
                                    <a:prstGeom prst="rect">
                                      <a:avLst/>
                                    </a:prstGeom>
                                  </pic:spPr>
                                </pic:pic>
                              </a:graphicData>
                            </a:graphic>
                          </wp:inline>
                        </w:drawing>
                      </w:r>
                    </w:p>
                  </w:txbxContent>
                </v:textbox>
              </v:shape>
            </w:pict>
          </mc:Fallback>
        </mc:AlternateContent>
      </w:r>
    </w:p>
    <w:p w:rsidR="00E2747C" w:rsidRDefault="00E2747C" w:rsidP="00ED1F69">
      <w:pPr>
        <w:jc w:val="center"/>
        <w:rPr>
          <w:u w:val="single"/>
        </w:rPr>
      </w:pPr>
    </w:p>
    <w:p w:rsidR="00E2747C" w:rsidRDefault="00E2747C" w:rsidP="00ED1F69">
      <w:pPr>
        <w:jc w:val="center"/>
        <w:rPr>
          <w:u w:val="single"/>
        </w:rPr>
      </w:pPr>
    </w:p>
    <w:p w:rsidR="007270B5" w:rsidRPr="007270B5" w:rsidRDefault="007270B5" w:rsidP="00ED1F69">
      <w:pPr>
        <w:jc w:val="center"/>
        <w:rPr>
          <w:u w:val="single"/>
        </w:rPr>
      </w:pPr>
      <w:r w:rsidRPr="007270B5">
        <w:rPr>
          <w:u w:val="single"/>
        </w:rPr>
        <w:t>What should we do about 2 week wait referrals for suspected cancer?</w:t>
      </w:r>
    </w:p>
    <w:p w:rsidR="007270B5" w:rsidRDefault="007270B5" w:rsidP="00ED1F69">
      <w:pPr>
        <w:jc w:val="center"/>
        <w:rPr>
          <w:b/>
        </w:rPr>
      </w:pPr>
      <w:r w:rsidRPr="007270B5">
        <w:rPr>
          <w:b/>
        </w:rPr>
        <w:t>Please continue to refer for suspected cancer as usual</w:t>
      </w:r>
    </w:p>
    <w:p w:rsidR="00E2747C" w:rsidRPr="00E2747C" w:rsidRDefault="00E2747C" w:rsidP="00ED1F69">
      <w:pPr>
        <w:jc w:val="center"/>
        <w:rPr>
          <w:b/>
          <w:sz w:val="10"/>
          <w:szCs w:val="10"/>
        </w:rPr>
      </w:pPr>
    </w:p>
    <w:p w:rsidR="007270B5" w:rsidRDefault="007270B5" w:rsidP="007270B5">
      <w:pPr>
        <w:pStyle w:val="ListParagraph"/>
        <w:numPr>
          <w:ilvl w:val="0"/>
          <w:numId w:val="1"/>
        </w:numPr>
      </w:pPr>
      <w:r>
        <w:t xml:space="preserve">If making a 2WW referral, please ensure it’s made using the latest version of the cancer referral form, contains all relevant clinical information to enable effective management and is electronically attached in e-RS RAS </w:t>
      </w:r>
    </w:p>
    <w:p w:rsidR="00FF3796" w:rsidRPr="007270B5" w:rsidRDefault="0052714B" w:rsidP="00412674">
      <w:pPr>
        <w:pStyle w:val="ListParagraph"/>
        <w:numPr>
          <w:ilvl w:val="0"/>
          <w:numId w:val="1"/>
        </w:numPr>
      </w:pPr>
      <w:r w:rsidRPr="007270B5">
        <w:t xml:space="preserve">Where a patient meets the criteria for </w:t>
      </w:r>
      <w:r w:rsidR="007270B5" w:rsidRPr="007270B5">
        <w:t xml:space="preserve">urgent referral under NG12 but </w:t>
      </w:r>
      <w:r w:rsidRPr="007270B5">
        <w:t>the GP</w:t>
      </w:r>
      <w:r w:rsidR="007270B5" w:rsidRPr="007270B5">
        <w:t>,</w:t>
      </w:r>
      <w:r w:rsidRPr="007270B5">
        <w:t xml:space="preserve"> in discussion with the patient</w:t>
      </w:r>
      <w:r w:rsidR="007270B5" w:rsidRPr="007270B5">
        <w:t>,</w:t>
      </w:r>
      <w:r w:rsidRPr="007270B5">
        <w:t xml:space="preserve"> decides not to make a suspected cancer referral</w:t>
      </w:r>
      <w:r w:rsidR="007270B5" w:rsidRPr="007270B5">
        <w:t xml:space="preserve"> at this time</w:t>
      </w:r>
      <w:r w:rsidRPr="007270B5">
        <w:t xml:space="preserve">, </w:t>
      </w:r>
      <w:r w:rsidR="00412674" w:rsidRPr="007270B5">
        <w:t xml:space="preserve">please </w:t>
      </w:r>
      <w:r w:rsidRPr="007270B5">
        <w:t>ensure the patient is appropriately safety netted, monitored and can be followed up if symptoms worsen or do not resolve</w:t>
      </w:r>
      <w:r w:rsidR="00394513" w:rsidRPr="007270B5">
        <w:t>. Please use the Advice &amp; Guidance option for further clinical advice</w:t>
      </w:r>
    </w:p>
    <w:p w:rsidR="00FF3796" w:rsidRDefault="00FF3796" w:rsidP="00412674">
      <w:pPr>
        <w:pStyle w:val="ListParagraph"/>
        <w:numPr>
          <w:ilvl w:val="0"/>
          <w:numId w:val="1"/>
        </w:numPr>
      </w:pPr>
      <w:r w:rsidRPr="00412674">
        <w:rPr>
          <w:rFonts w:cs="Calibri"/>
        </w:rPr>
        <w:t xml:space="preserve">All patients being referred should be clear about the importance </w:t>
      </w:r>
      <w:r w:rsidR="00412674">
        <w:rPr>
          <w:rFonts w:cs="Calibri"/>
        </w:rPr>
        <w:t>of the referral</w:t>
      </w:r>
    </w:p>
    <w:p w:rsidR="00FF3796" w:rsidRDefault="0052714B" w:rsidP="00412674">
      <w:pPr>
        <w:pStyle w:val="ListParagraph"/>
        <w:numPr>
          <w:ilvl w:val="0"/>
          <w:numId w:val="1"/>
        </w:numPr>
      </w:pPr>
      <w:r>
        <w:t>Please e</w:t>
      </w:r>
      <w:r w:rsidR="00FF3796">
        <w:t>nsure the practice has the correct contact telephone number on the patient record</w:t>
      </w:r>
    </w:p>
    <w:p w:rsidR="00FF3796" w:rsidRDefault="00412674" w:rsidP="00412674">
      <w:pPr>
        <w:pStyle w:val="ListParagraph"/>
        <w:numPr>
          <w:ilvl w:val="0"/>
          <w:numId w:val="1"/>
        </w:numPr>
      </w:pPr>
      <w:r>
        <w:t>Please</w:t>
      </w:r>
      <w:r w:rsidR="00FF3796">
        <w:t xml:space="preserve"> ensure all ‘pre-referral’ clinical work-up has been completed and in particular that key blood tests are completed where possible, but without delaying the referral</w:t>
      </w:r>
    </w:p>
    <w:p w:rsidR="00FF3796" w:rsidRPr="00BF7F15" w:rsidRDefault="00AF3A5E" w:rsidP="00412674">
      <w:pPr>
        <w:pStyle w:val="ListParagraph"/>
        <w:numPr>
          <w:ilvl w:val="0"/>
          <w:numId w:val="1"/>
        </w:numPr>
      </w:pPr>
      <w:r>
        <w:rPr>
          <w:rFonts w:cs="Calibri"/>
        </w:rPr>
        <w:t>Please advise p</w:t>
      </w:r>
      <w:r w:rsidR="00FF3796" w:rsidRPr="00412674">
        <w:rPr>
          <w:rFonts w:cs="Calibri"/>
        </w:rPr>
        <w:t xml:space="preserve">atients </w:t>
      </w:r>
      <w:r>
        <w:rPr>
          <w:rFonts w:cs="Calibri"/>
        </w:rPr>
        <w:t>t</w:t>
      </w:r>
      <w:r w:rsidR="00FF3796" w:rsidRPr="00412674">
        <w:rPr>
          <w:rFonts w:cs="Calibri"/>
        </w:rPr>
        <w:t>hat they may receive a telephone consultation rather than a face to face appointment with the hospital</w:t>
      </w:r>
    </w:p>
    <w:p w:rsidR="00FF3796" w:rsidRPr="00412674" w:rsidRDefault="00AF3A5E" w:rsidP="00412674">
      <w:pPr>
        <w:pStyle w:val="ListParagraph"/>
        <w:numPr>
          <w:ilvl w:val="0"/>
          <w:numId w:val="1"/>
        </w:numPr>
        <w:rPr>
          <w:rFonts w:cs="Calibri"/>
        </w:rPr>
      </w:pPr>
      <w:r>
        <w:rPr>
          <w:rFonts w:cs="Calibri"/>
        </w:rPr>
        <w:t>Please</w:t>
      </w:r>
      <w:r w:rsidR="00FF3796" w:rsidRPr="00412674">
        <w:rPr>
          <w:rFonts w:cs="Calibri"/>
        </w:rPr>
        <w:t xml:space="preserve"> inform patients that should they develop a fever and/or new persistent cough whilst awaiting hospital appointments or tests to contact the hospital and make a different appointment at a later date, after the re</w:t>
      </w:r>
      <w:r w:rsidR="00412674">
        <w:rPr>
          <w:rFonts w:cs="Calibri"/>
        </w:rPr>
        <w:t>quired period of self-isolation</w:t>
      </w:r>
    </w:p>
    <w:p w:rsidR="00FF3796" w:rsidRDefault="00AF3A5E" w:rsidP="00412674">
      <w:pPr>
        <w:pStyle w:val="ListParagraph"/>
        <w:numPr>
          <w:ilvl w:val="0"/>
          <w:numId w:val="1"/>
        </w:numPr>
        <w:rPr>
          <w:rFonts w:cs="Calibri"/>
        </w:rPr>
      </w:pPr>
      <w:r>
        <w:rPr>
          <w:rFonts w:cs="Calibri"/>
        </w:rPr>
        <w:t>Please</w:t>
      </w:r>
      <w:r w:rsidR="00FF3796" w:rsidRPr="00412674">
        <w:rPr>
          <w:rFonts w:cs="Calibri"/>
        </w:rPr>
        <w:t xml:space="preserve"> advise patients being referred that only one person should accompany them to the hospital clinic</w:t>
      </w:r>
    </w:p>
    <w:p w:rsidR="00E2747C" w:rsidRPr="00E2747C" w:rsidRDefault="00E2747C" w:rsidP="00A6021B">
      <w:pPr>
        <w:rPr>
          <w:rFonts w:cs="Calibri"/>
          <w:b/>
          <w:sz w:val="16"/>
          <w:szCs w:val="16"/>
        </w:rPr>
      </w:pPr>
    </w:p>
    <w:p w:rsidR="00A6021B" w:rsidRDefault="00A6021B" w:rsidP="00A6021B">
      <w:pPr>
        <w:rPr>
          <w:rFonts w:cs="Calibri"/>
          <w:b/>
        </w:rPr>
      </w:pPr>
      <w:r>
        <w:rPr>
          <w:rFonts w:cs="Calibri"/>
          <w:b/>
        </w:rPr>
        <w:t>Secondary Care</w:t>
      </w:r>
    </w:p>
    <w:p w:rsidR="00706D81" w:rsidRDefault="00706D81" w:rsidP="00706D81">
      <w:pPr>
        <w:rPr>
          <w:rFonts w:cs="Calibri"/>
        </w:rPr>
      </w:pPr>
      <w:r>
        <w:rPr>
          <w:rFonts w:cs="Calibri"/>
        </w:rPr>
        <w:t xml:space="preserve">See diagram below for national cancer pathway for managing patients during </w:t>
      </w:r>
      <w:proofErr w:type="spellStart"/>
      <w:r>
        <w:rPr>
          <w:rFonts w:cs="Calibri"/>
        </w:rPr>
        <w:t>Covid</w:t>
      </w:r>
      <w:proofErr w:type="spellEnd"/>
      <w:r>
        <w:rPr>
          <w:rFonts w:cs="Calibri"/>
        </w:rPr>
        <w:t xml:space="preserve"> 19 within hospitals:</w:t>
      </w:r>
    </w:p>
    <w:p w:rsidR="00706D81" w:rsidRDefault="00706D81" w:rsidP="00A6021B">
      <w:pPr>
        <w:rPr>
          <w:rFonts w:cs="Calibri"/>
          <w:b/>
        </w:rPr>
      </w:pPr>
      <w:r>
        <w:rPr>
          <w:noProof/>
          <w:lang w:eastAsia="en-GB"/>
        </w:rPr>
        <w:drawing>
          <wp:inline distT="0" distB="0" distL="0" distR="0" wp14:anchorId="7CDCE492" wp14:editId="4139AD39">
            <wp:extent cx="4965700" cy="33911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9010" cy="3393417"/>
                    </a:xfrm>
                    <a:prstGeom prst="rect">
                      <a:avLst/>
                    </a:prstGeom>
                  </pic:spPr>
                </pic:pic>
              </a:graphicData>
            </a:graphic>
          </wp:inline>
        </w:drawing>
      </w:r>
    </w:p>
    <w:p w:rsidR="00706D81" w:rsidRDefault="00706D81" w:rsidP="00A6021B">
      <w:pPr>
        <w:rPr>
          <w:rFonts w:cs="Calibri"/>
          <w:b/>
        </w:rPr>
      </w:pPr>
    </w:p>
    <w:p w:rsidR="00706D81" w:rsidRPr="00706D81" w:rsidRDefault="00706D81" w:rsidP="00A6021B">
      <w:pPr>
        <w:rPr>
          <w:rFonts w:cs="Calibri"/>
          <w:b/>
        </w:rPr>
      </w:pPr>
      <w:r w:rsidRPr="00706D81">
        <w:rPr>
          <w:rFonts w:cs="Calibri"/>
          <w:b/>
        </w:rPr>
        <w:t>Further information below:</w:t>
      </w:r>
    </w:p>
    <w:p w:rsidR="00706D81" w:rsidRPr="00706D81" w:rsidRDefault="00706D81" w:rsidP="00412674">
      <w:pPr>
        <w:pStyle w:val="ListParagraph"/>
        <w:numPr>
          <w:ilvl w:val="0"/>
          <w:numId w:val="1"/>
        </w:numPr>
        <w:rPr>
          <w:rFonts w:cstheme="minorHAnsi"/>
          <w:color w:val="212121"/>
        </w:rPr>
      </w:pPr>
      <w:r w:rsidRPr="00706D81">
        <w:rPr>
          <w:rFonts w:cstheme="minorHAnsi"/>
          <w:color w:val="212121"/>
        </w:rPr>
        <w:t xml:space="preserve">GPs may, on occasion, </w:t>
      </w:r>
      <w:r w:rsidR="0052714B" w:rsidRPr="00706D81">
        <w:rPr>
          <w:rFonts w:cstheme="minorHAnsi"/>
          <w:color w:val="212121"/>
        </w:rPr>
        <w:t>be requested to downgrade the referral if clinical suspicion is low. The policy that a 2WW referral can only be downgraded wit</w:t>
      </w:r>
      <w:r w:rsidRPr="00706D81">
        <w:rPr>
          <w:rFonts w:cstheme="minorHAnsi"/>
          <w:color w:val="212121"/>
        </w:rPr>
        <w:t>h the referrer's consent remains</w:t>
      </w:r>
    </w:p>
    <w:p w:rsidR="0052714B" w:rsidRPr="00412674" w:rsidRDefault="00997F98" w:rsidP="00412674">
      <w:pPr>
        <w:pStyle w:val="ListParagraph"/>
        <w:numPr>
          <w:ilvl w:val="0"/>
          <w:numId w:val="1"/>
        </w:numPr>
        <w:rPr>
          <w:rFonts w:cstheme="minorHAnsi"/>
        </w:rPr>
      </w:pPr>
      <w:r w:rsidRPr="00412674">
        <w:rPr>
          <w:rFonts w:cstheme="minorHAnsi"/>
          <w:color w:val="212121"/>
        </w:rPr>
        <w:t xml:space="preserve">Where a patient is referred as a suspected cancer referral and assessed virtually/by telephone, and a decision is taken not to undertake diagnostics currently due to risk to the patient, the hospital will keep the patient </w:t>
      </w:r>
      <w:r w:rsidR="00A6021B">
        <w:rPr>
          <w:rFonts w:cstheme="minorHAnsi"/>
          <w:color w:val="212121"/>
        </w:rPr>
        <w:t xml:space="preserve">“suspended” </w:t>
      </w:r>
      <w:r w:rsidRPr="00412674">
        <w:rPr>
          <w:rFonts w:cstheme="minorHAnsi"/>
          <w:color w:val="212121"/>
        </w:rPr>
        <w:t xml:space="preserve">on their patient tracking list (PTL) to ensure they can be appropriately followed up. Patients will be fully involved in reaching this decision and given advice on how to report worsening or new symptoms </w:t>
      </w:r>
    </w:p>
    <w:p w:rsidR="00FF3796" w:rsidRDefault="00412674" w:rsidP="00412674">
      <w:pPr>
        <w:pStyle w:val="ListParagraph"/>
        <w:numPr>
          <w:ilvl w:val="0"/>
          <w:numId w:val="1"/>
        </w:numPr>
        <w:rPr>
          <w:rFonts w:cs="Calibri"/>
        </w:rPr>
      </w:pPr>
      <w:r w:rsidRPr="00412674">
        <w:rPr>
          <w:rFonts w:cs="Calibri"/>
        </w:rPr>
        <w:t>Where a diagnosis of cancer is confirmed, and to minimise the patient’s overall risk they are not listed for treatment immediately, the patient will remain on the PTL and a decision to treat will be recorded if the patient has agreed to treatment</w:t>
      </w:r>
      <w:r w:rsidR="00A23FBD" w:rsidRPr="00412674">
        <w:rPr>
          <w:rFonts w:cs="Calibri"/>
        </w:rPr>
        <w:t xml:space="preserve">. Appropriate Safety </w:t>
      </w:r>
      <w:r w:rsidR="00FF3796" w:rsidRPr="00412674">
        <w:rPr>
          <w:rFonts w:cs="Calibri"/>
        </w:rPr>
        <w:t xml:space="preserve">Netting </w:t>
      </w:r>
      <w:r w:rsidR="00A23FBD" w:rsidRPr="00412674">
        <w:rPr>
          <w:rFonts w:cs="Calibri"/>
        </w:rPr>
        <w:t xml:space="preserve">will be </w:t>
      </w:r>
      <w:r w:rsidR="00FF3796" w:rsidRPr="00412674">
        <w:rPr>
          <w:rFonts w:cs="Calibri"/>
        </w:rPr>
        <w:t>done</w:t>
      </w:r>
      <w:r w:rsidR="00A23FBD" w:rsidRPr="00412674">
        <w:rPr>
          <w:rFonts w:cs="Calibri"/>
        </w:rPr>
        <w:t xml:space="preserve"> by the hospital </w:t>
      </w:r>
    </w:p>
    <w:p w:rsidR="00AF3A5E" w:rsidRPr="00412674" w:rsidRDefault="00AF3A5E" w:rsidP="00AF3A5E">
      <w:pPr>
        <w:pStyle w:val="ListParagraph"/>
        <w:numPr>
          <w:ilvl w:val="0"/>
          <w:numId w:val="1"/>
        </w:numPr>
        <w:rPr>
          <w:rFonts w:cs="Calibri"/>
        </w:rPr>
      </w:pPr>
      <w:r w:rsidRPr="00412674">
        <w:rPr>
          <w:rFonts w:cs="Calibri"/>
        </w:rPr>
        <w:t xml:space="preserve">Any patient within an existing pathway wishing to </w:t>
      </w:r>
      <w:r w:rsidRPr="00412674">
        <w:rPr>
          <w:rFonts w:cs="Calibri"/>
          <w:b/>
        </w:rPr>
        <w:t>defer</w:t>
      </w:r>
      <w:r w:rsidRPr="00412674">
        <w:rPr>
          <w:rFonts w:cs="Calibri"/>
        </w:rPr>
        <w:t xml:space="preserve"> appointments, tests or treatment due to COVID-19 related reasons, will be retained by the provider and be visible on the PTL with clear tracking comments; </w:t>
      </w:r>
      <w:r>
        <w:rPr>
          <w:rFonts w:cs="Calibri"/>
        </w:rPr>
        <w:t>the hospital</w:t>
      </w:r>
      <w:r w:rsidRPr="00412674">
        <w:rPr>
          <w:rFonts w:cs="Calibri"/>
        </w:rPr>
        <w:t xml:space="preserve"> will ensure appropriate mechanisms are in place to ensure these patients are not ‘lost’ in the system and their pat</w:t>
      </w:r>
      <w:r>
        <w:rPr>
          <w:rFonts w:cs="Calibri"/>
        </w:rPr>
        <w:t>hway progressed at a later date</w:t>
      </w:r>
    </w:p>
    <w:p w:rsidR="00AF3A5E" w:rsidRDefault="00AF3A5E" w:rsidP="00AF3A5E">
      <w:pPr>
        <w:pStyle w:val="ListParagraph"/>
        <w:ind w:left="360"/>
        <w:rPr>
          <w:rFonts w:cs="Calibri"/>
        </w:rPr>
      </w:pPr>
    </w:p>
    <w:p w:rsidR="00AF3A5E" w:rsidRDefault="00AF3A5E" w:rsidP="00AF3A5E">
      <w:pPr>
        <w:pStyle w:val="ListParagraph"/>
        <w:ind w:left="360"/>
        <w:rPr>
          <w:rFonts w:cs="Calibri"/>
        </w:rPr>
      </w:pPr>
    </w:p>
    <w:p w:rsidR="006438BD" w:rsidRDefault="006438BD" w:rsidP="00AF3A5E">
      <w:pPr>
        <w:pStyle w:val="ListParagraph"/>
        <w:ind w:left="360"/>
        <w:rPr>
          <w:rFonts w:cs="Calibri"/>
        </w:rPr>
      </w:pPr>
    </w:p>
    <w:p w:rsidR="006438BD" w:rsidRDefault="006438BD" w:rsidP="00AF3A5E">
      <w:pPr>
        <w:pStyle w:val="ListParagraph"/>
        <w:ind w:left="360"/>
        <w:rPr>
          <w:rFonts w:cs="Calibri"/>
        </w:rPr>
      </w:pPr>
    </w:p>
    <w:p w:rsidR="006438BD" w:rsidRDefault="006438BD" w:rsidP="00AF3A5E">
      <w:pPr>
        <w:pStyle w:val="ListParagraph"/>
        <w:ind w:left="360"/>
        <w:rPr>
          <w:rFonts w:cs="Calibri"/>
        </w:rPr>
      </w:pPr>
    </w:p>
    <w:p w:rsidR="006438BD" w:rsidRDefault="006438BD" w:rsidP="00AF3A5E">
      <w:pPr>
        <w:pStyle w:val="ListParagraph"/>
        <w:ind w:left="360"/>
        <w:rPr>
          <w:rFonts w:cs="Calibri"/>
        </w:rPr>
      </w:pPr>
    </w:p>
    <w:p w:rsidR="006438BD" w:rsidRPr="00412674" w:rsidRDefault="006438BD" w:rsidP="00AF3A5E">
      <w:pPr>
        <w:pStyle w:val="ListParagraph"/>
        <w:ind w:left="360"/>
        <w:rPr>
          <w:rFonts w:cs="Calibri"/>
        </w:rPr>
      </w:pPr>
    </w:p>
    <w:p w:rsidR="0078174E" w:rsidRDefault="00E2747C" w:rsidP="00A23FBD">
      <w:pPr>
        <w:rPr>
          <w:rFonts w:cs="Calibri"/>
        </w:rPr>
      </w:pPr>
      <w:r>
        <w:rPr>
          <w:rFonts w:cs="Calibri"/>
        </w:rPr>
        <w:t>S</w:t>
      </w:r>
      <w:r w:rsidR="00223374">
        <w:rPr>
          <w:rFonts w:cs="Calibri"/>
        </w:rPr>
        <w:t>ent o</w:t>
      </w:r>
      <w:r w:rsidR="00045CEB">
        <w:rPr>
          <w:rFonts w:cs="Calibri"/>
        </w:rPr>
        <w:t xml:space="preserve">n behalf of </w:t>
      </w:r>
    </w:p>
    <w:p w:rsidR="00CD6849" w:rsidRDefault="00A23FBD" w:rsidP="003E797D">
      <w:pPr>
        <w:spacing w:after="0"/>
        <w:rPr>
          <w:rFonts w:cs="Calibri"/>
        </w:rPr>
      </w:pPr>
      <w:r>
        <w:rPr>
          <w:rFonts w:cs="Calibri"/>
        </w:rPr>
        <w:t>Dr Louise Merriman, Cancer Clinical Lead, DDCCG</w:t>
      </w:r>
    </w:p>
    <w:p w:rsidR="00A23FBD" w:rsidRDefault="00F63D10" w:rsidP="003E797D">
      <w:pPr>
        <w:spacing w:after="0"/>
        <w:rPr>
          <w:rFonts w:cs="Calibri"/>
        </w:rPr>
      </w:pPr>
      <w:r w:rsidRPr="00F63D10">
        <w:rPr>
          <w:rFonts w:cs="Calibri"/>
        </w:rPr>
        <w:t>14</w:t>
      </w:r>
      <w:r w:rsidR="00A23FBD" w:rsidRPr="00F63D10">
        <w:rPr>
          <w:rFonts w:cs="Calibri"/>
          <w:vertAlign w:val="superscript"/>
        </w:rPr>
        <w:t>th</w:t>
      </w:r>
      <w:r w:rsidR="00A23FBD" w:rsidRPr="00F63D10">
        <w:rPr>
          <w:rFonts w:cs="Calibri"/>
        </w:rPr>
        <w:t xml:space="preserve"> April 2020</w:t>
      </w:r>
    </w:p>
    <w:p w:rsidR="00773B60" w:rsidRDefault="00A23FBD" w:rsidP="003E797D">
      <w:pPr>
        <w:spacing w:after="0"/>
        <w:rPr>
          <w:rFonts w:cs="Calibri"/>
        </w:rPr>
      </w:pPr>
      <w:r>
        <w:rPr>
          <w:rFonts w:cs="Calibri"/>
        </w:rPr>
        <w:t>Version 1</w:t>
      </w:r>
      <w:r w:rsidR="00F63D10">
        <w:rPr>
          <w:rFonts w:cs="Calibri"/>
        </w:rPr>
        <w:t>.2</w:t>
      </w:r>
    </w:p>
    <w:p w:rsidR="00773B60" w:rsidRPr="00773B60" w:rsidRDefault="00773B60" w:rsidP="00773B60">
      <w:pPr>
        <w:rPr>
          <w:rFonts w:cs="Calibri"/>
        </w:rPr>
      </w:pPr>
    </w:p>
    <w:p w:rsidR="00773B60" w:rsidRDefault="00773B60" w:rsidP="00773B60">
      <w:pPr>
        <w:rPr>
          <w:rFonts w:cs="Calibri"/>
        </w:rPr>
      </w:pPr>
      <w:r>
        <w:rPr>
          <w:rFonts w:cs="Calibri"/>
        </w:rPr>
        <w:t xml:space="preserve">If you have concerns or queries, please contact: </w:t>
      </w:r>
    </w:p>
    <w:p w:rsidR="00773B60" w:rsidRDefault="00773B60" w:rsidP="00773B60">
      <w:pPr>
        <w:spacing w:after="0"/>
        <w:rPr>
          <w:rFonts w:cstheme="minorHAnsi"/>
          <w:lang w:eastAsia="en-GB"/>
        </w:rPr>
      </w:pPr>
      <w:r w:rsidRPr="00223374">
        <w:rPr>
          <w:rFonts w:cstheme="minorHAnsi"/>
        </w:rPr>
        <w:t>Christine Urquhart</w:t>
      </w:r>
      <w:r w:rsidR="00E2747C">
        <w:rPr>
          <w:rFonts w:cstheme="minorHAnsi"/>
        </w:rPr>
        <w:t xml:space="preserve">, Head of Cancer Commissioning - </w:t>
      </w:r>
      <w:hyperlink r:id="rId7" w:history="1">
        <w:r w:rsidRPr="00223374">
          <w:rPr>
            <w:rStyle w:val="Hyperlink"/>
            <w:rFonts w:cstheme="minorHAnsi"/>
            <w:color w:val="0070C0"/>
            <w:lang w:eastAsia="en-GB"/>
          </w:rPr>
          <w:t>christine.urquhart2@nhs.net</w:t>
        </w:r>
      </w:hyperlink>
      <w:r>
        <w:rPr>
          <w:rFonts w:cstheme="minorHAnsi"/>
          <w:lang w:eastAsia="en-GB"/>
        </w:rPr>
        <w:t xml:space="preserve"> </w:t>
      </w:r>
      <w:r w:rsidRPr="00223374">
        <w:rPr>
          <w:rFonts w:cstheme="minorHAnsi"/>
          <w:lang w:eastAsia="en-GB"/>
        </w:rPr>
        <w:t xml:space="preserve"> 07770</w:t>
      </w:r>
      <w:r w:rsidR="00F63D10">
        <w:rPr>
          <w:rFonts w:cstheme="minorHAnsi"/>
          <w:lang w:eastAsia="en-GB"/>
        </w:rPr>
        <w:t xml:space="preserve"> </w:t>
      </w:r>
      <w:r w:rsidRPr="00223374">
        <w:rPr>
          <w:rFonts w:cstheme="minorHAnsi"/>
          <w:lang w:eastAsia="en-GB"/>
        </w:rPr>
        <w:t>794613</w:t>
      </w:r>
    </w:p>
    <w:p w:rsidR="00773B60" w:rsidRPr="00223374" w:rsidRDefault="00773B60" w:rsidP="00773B60">
      <w:pPr>
        <w:spacing w:after="0"/>
        <w:rPr>
          <w:rFonts w:cstheme="minorHAnsi"/>
        </w:rPr>
      </w:pPr>
      <w:r w:rsidRPr="00223374">
        <w:rPr>
          <w:rFonts w:cstheme="minorHAnsi"/>
        </w:rPr>
        <w:t>Jo Rhodes</w:t>
      </w:r>
      <w:r w:rsidR="00E2747C">
        <w:rPr>
          <w:rFonts w:cstheme="minorHAnsi"/>
        </w:rPr>
        <w:t xml:space="preserve">, Commissioning Manager – Cancer - </w:t>
      </w:r>
      <w:hyperlink r:id="rId8" w:history="1">
        <w:r w:rsidRPr="00223374">
          <w:rPr>
            <w:rStyle w:val="Hyperlink"/>
            <w:rFonts w:eastAsia="Calibri" w:cstheme="minorHAnsi"/>
            <w:noProof/>
            <w:color w:val="0070C0"/>
            <w:lang w:eastAsia="en-GB"/>
          </w:rPr>
          <w:t>jo.rhodes@nhs.net</w:t>
        </w:r>
      </w:hyperlink>
      <w:r w:rsidRPr="00223374">
        <w:rPr>
          <w:rFonts w:eastAsia="Calibri" w:cstheme="minorHAnsi"/>
          <w:noProof/>
          <w:color w:val="0070C0"/>
          <w:lang w:eastAsia="en-GB"/>
        </w:rPr>
        <w:t xml:space="preserve"> </w:t>
      </w:r>
      <w:r w:rsidRPr="00223374">
        <w:rPr>
          <w:rFonts w:eastAsia="Calibri" w:cstheme="minorHAnsi"/>
          <w:noProof/>
          <w:lang w:eastAsia="en-GB"/>
        </w:rPr>
        <w:t xml:space="preserve"> 07818 060275</w:t>
      </w:r>
    </w:p>
    <w:p w:rsidR="00A23FBD" w:rsidRPr="00773B60" w:rsidRDefault="00A23FBD" w:rsidP="00773B60">
      <w:pPr>
        <w:rPr>
          <w:rFonts w:cs="Calibri"/>
        </w:rPr>
      </w:pPr>
    </w:p>
    <w:sectPr w:rsidR="00A23FBD" w:rsidRPr="00773B60" w:rsidSect="00E2747C">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0933"/>
    <w:multiLevelType w:val="hybridMultilevel"/>
    <w:tmpl w:val="2F18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796"/>
    <w:rsid w:val="00045CEB"/>
    <w:rsid w:val="00223374"/>
    <w:rsid w:val="00297E5D"/>
    <w:rsid w:val="00394513"/>
    <w:rsid w:val="003E797D"/>
    <w:rsid w:val="00412674"/>
    <w:rsid w:val="00423571"/>
    <w:rsid w:val="0052714B"/>
    <w:rsid w:val="006438BD"/>
    <w:rsid w:val="00706D81"/>
    <w:rsid w:val="007270B5"/>
    <w:rsid w:val="00773B60"/>
    <w:rsid w:val="0078174E"/>
    <w:rsid w:val="00997F98"/>
    <w:rsid w:val="009A1216"/>
    <w:rsid w:val="00A23FBD"/>
    <w:rsid w:val="00A509B5"/>
    <w:rsid w:val="00A6021B"/>
    <w:rsid w:val="00AF3A5E"/>
    <w:rsid w:val="00CD6849"/>
    <w:rsid w:val="00DB3287"/>
    <w:rsid w:val="00DC6288"/>
    <w:rsid w:val="00E01A84"/>
    <w:rsid w:val="00E2747C"/>
    <w:rsid w:val="00ED1F69"/>
    <w:rsid w:val="00F63D10"/>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57928-4195-40A0-858B-57663F4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49"/>
    <w:rPr>
      <w:rFonts w:ascii="Tahoma" w:hAnsi="Tahoma" w:cs="Tahoma"/>
      <w:sz w:val="16"/>
      <w:szCs w:val="16"/>
    </w:rPr>
  </w:style>
  <w:style w:type="paragraph" w:styleId="ListParagraph">
    <w:name w:val="List Paragraph"/>
    <w:basedOn w:val="Normal"/>
    <w:uiPriority w:val="34"/>
    <w:qFormat/>
    <w:rsid w:val="00412674"/>
    <w:pPr>
      <w:ind w:left="720"/>
      <w:contextualSpacing/>
    </w:pPr>
  </w:style>
  <w:style w:type="character" w:styleId="Hyperlink">
    <w:name w:val="Hyperlink"/>
    <w:basedOn w:val="DefaultParagraphFont"/>
    <w:uiPriority w:val="99"/>
    <w:semiHidden/>
    <w:unhideWhenUsed/>
    <w:rsid w:val="0078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hodes@nhs.net" TargetMode="External"/><Relationship Id="rId3" Type="http://schemas.openxmlformats.org/officeDocument/2006/relationships/settings" Target="settings.xml"/><Relationship Id="rId7" Type="http://schemas.openxmlformats.org/officeDocument/2006/relationships/hyperlink" Target="mailto:christine.urquhart2@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Joanne (NHS North Derbyshire CCG)</dc:creator>
  <cp:lastModifiedBy>David Gibbs</cp:lastModifiedBy>
  <cp:revision>2</cp:revision>
  <dcterms:created xsi:type="dcterms:W3CDTF">2020-04-15T16:16:00Z</dcterms:created>
  <dcterms:modified xsi:type="dcterms:W3CDTF">2020-04-15T16:16:00Z</dcterms:modified>
</cp:coreProperties>
</file>